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C5C12" w14:textId="77777777" w:rsidR="000F2134" w:rsidRPr="000F2134" w:rsidRDefault="000F2134" w:rsidP="000F2134">
      <w:pPr>
        <w:pStyle w:val="NoSpacing"/>
        <w:jc w:val="center"/>
        <w:rPr>
          <w:b/>
          <w:sz w:val="40"/>
          <w:szCs w:val="28"/>
          <w:u w:val="single"/>
        </w:rPr>
      </w:pPr>
      <w:r w:rsidRPr="000F2134">
        <w:rPr>
          <w:b/>
          <w:sz w:val="40"/>
          <w:szCs w:val="28"/>
          <w:u w:val="single"/>
        </w:rPr>
        <w:t>Fundamental Forces and Particles</w:t>
      </w:r>
    </w:p>
    <w:p w14:paraId="267B84D5" w14:textId="166494F4" w:rsidR="00D31AB1" w:rsidRDefault="00D31AB1" w:rsidP="00D31AB1">
      <w:pPr>
        <w:pStyle w:val="NoSpacing"/>
      </w:pPr>
    </w:p>
    <w:p w14:paraId="2BB301FE" w14:textId="77777777" w:rsidR="00D31AB1" w:rsidRDefault="00D31AB1" w:rsidP="00D31AB1">
      <w:pPr>
        <w:pStyle w:val="NoSpacing"/>
      </w:pPr>
    </w:p>
    <w:p w14:paraId="0A573B6D" w14:textId="5C221ADD" w:rsidR="00D31AB1" w:rsidRPr="00D31AB1" w:rsidRDefault="00D31AB1" w:rsidP="00D31AB1">
      <w:pPr>
        <w:pStyle w:val="NoSpacing"/>
      </w:pPr>
      <w:r w:rsidRPr="00D31AB1">
        <w:t>Now let’s examine the fundamental forces and particles.  There are two major types of particles: leptons and hadrons</w:t>
      </w:r>
      <w:r w:rsidR="00664D3E">
        <w:t xml:space="preserve">.  </w:t>
      </w:r>
      <w:r w:rsidR="00407A61">
        <w:t xml:space="preserve">All leptons have spin ½, and so are fermions.  </w:t>
      </w:r>
      <w:r w:rsidR="000278F1">
        <w:t>The hadrons</w:t>
      </w:r>
      <w:r w:rsidRPr="00D31AB1">
        <w:t xml:space="preserve"> themselves split into two subclasses</w:t>
      </w:r>
      <w:r w:rsidR="00664D3E">
        <w:t xml:space="preserve">: baryons and </w:t>
      </w:r>
      <w:r w:rsidR="000278F1">
        <w:t>mesons</w:t>
      </w:r>
      <w:r w:rsidRPr="00D31AB1">
        <w:t xml:space="preserve">. Baryons are fermions with spin ½, or 3/2 and Mesons are bosons with spin 0 or 1. </w:t>
      </w:r>
    </w:p>
    <w:p w14:paraId="4F8F7A3F" w14:textId="77777777" w:rsidR="00D31AB1" w:rsidRPr="00D31AB1" w:rsidRDefault="00D31AB1" w:rsidP="00D31AB1">
      <w:pPr>
        <w:pStyle w:val="NoSpacing"/>
      </w:pPr>
    </w:p>
    <w:p w14:paraId="4E519ED3" w14:textId="0125BFA5" w:rsidR="00D31AB1" w:rsidRPr="00D31AB1" w:rsidRDefault="000F2134" w:rsidP="00D31AB1">
      <w:pPr>
        <w:pStyle w:val="NoSpacing"/>
      </w:pPr>
      <w:r w:rsidRPr="00D31AB1">
        <w:object w:dxaOrig="8545" w:dyaOrig="2676" w14:anchorId="466FC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2pt;height:106.9pt" o:ole="">
            <v:imagedata r:id="rId5" o:title="" croptop="5290f" cropbottom="11936f" cropright="-1791f"/>
          </v:shape>
          <o:OLEObject Type="Embed" ProgID="PBrush" ShapeID="_x0000_i1025" DrawAspect="Content" ObjectID="_1719242577" r:id="rId6"/>
        </w:object>
      </w:r>
    </w:p>
    <w:p w14:paraId="2C46D99F" w14:textId="77777777" w:rsidR="00D31AB1" w:rsidRPr="00D31AB1" w:rsidRDefault="00D31AB1" w:rsidP="00D31AB1">
      <w:pPr>
        <w:pStyle w:val="NoSpacing"/>
      </w:pPr>
    </w:p>
    <w:p w14:paraId="351781DA" w14:textId="2035CFBF" w:rsidR="00D31AB1" w:rsidRPr="00D31AB1" w:rsidRDefault="00D31AB1" w:rsidP="00D31AB1">
      <w:pPr>
        <w:pStyle w:val="NoSpacing"/>
      </w:pPr>
      <w:r w:rsidRPr="00D31AB1">
        <w:t>The leptons include the e</w:t>
      </w:r>
      <w:r w:rsidRPr="00D31AB1">
        <w:rPr>
          <w:vertAlign w:val="superscript"/>
        </w:rPr>
        <w:t>-</w:t>
      </w:r>
      <w:r w:rsidRPr="00D31AB1">
        <w:t>, and it</w:t>
      </w:r>
      <w:r w:rsidR="000F2134">
        <w:t>s</w:t>
      </w:r>
      <w:r w:rsidRPr="00D31AB1">
        <w:t xml:space="preserve"> anti-particle e</w:t>
      </w:r>
      <w:r w:rsidRPr="00D31AB1">
        <w:rPr>
          <w:vertAlign w:val="superscript"/>
        </w:rPr>
        <w:t>+</w:t>
      </w:r>
      <w:r w:rsidRPr="00D31AB1">
        <w:t>, the electron neutrino, ν</w:t>
      </w:r>
      <w:r w:rsidRPr="00D31AB1">
        <w:rPr>
          <w:vertAlign w:val="subscript"/>
        </w:rPr>
        <w:t>e</w:t>
      </w:r>
      <w:r w:rsidRPr="00D31AB1">
        <w:t>, and its anti-particle, and similarly for the muon, μ, and the tau particle, τ.  So all in all we have for the lepton family (note L is the lepton number of the particle)</w:t>
      </w:r>
      <w:r w:rsidR="000278F1">
        <w:t xml:space="preserve">.  Note anti-lepton has anti lepton number.  </w:t>
      </w:r>
    </w:p>
    <w:p w14:paraId="61DD60E9" w14:textId="77777777" w:rsidR="00D31AB1" w:rsidRPr="00D31AB1" w:rsidRDefault="00D31AB1" w:rsidP="00D31AB1">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1080"/>
        <w:gridCol w:w="1440"/>
        <w:gridCol w:w="1710"/>
        <w:gridCol w:w="450"/>
        <w:gridCol w:w="540"/>
        <w:gridCol w:w="450"/>
        <w:gridCol w:w="1170"/>
      </w:tblGrid>
      <w:tr w:rsidR="00B131AD" w:rsidRPr="00D31AB1" w14:paraId="561A9296" w14:textId="77777777" w:rsidTr="00B131AD">
        <w:tc>
          <w:tcPr>
            <w:tcW w:w="2065" w:type="dxa"/>
            <w:shd w:val="clear" w:color="auto" w:fill="auto"/>
          </w:tcPr>
          <w:p w14:paraId="04DBA6E3" w14:textId="77777777" w:rsidR="00D31AB1" w:rsidRPr="00D31AB1" w:rsidRDefault="00D31AB1" w:rsidP="00D31AB1">
            <w:pPr>
              <w:pStyle w:val="NoSpacing"/>
              <w:rPr>
                <w:b/>
              </w:rPr>
            </w:pPr>
            <w:r w:rsidRPr="00D31AB1">
              <w:rPr>
                <w:b/>
              </w:rPr>
              <w:t>Particle</w:t>
            </w:r>
          </w:p>
        </w:tc>
        <w:tc>
          <w:tcPr>
            <w:tcW w:w="1080" w:type="dxa"/>
            <w:shd w:val="clear" w:color="auto" w:fill="auto"/>
          </w:tcPr>
          <w:p w14:paraId="799DF694" w14:textId="77777777" w:rsidR="00D31AB1" w:rsidRPr="00D31AB1" w:rsidRDefault="00D31AB1" w:rsidP="00D31AB1">
            <w:pPr>
              <w:pStyle w:val="NoSpacing"/>
              <w:rPr>
                <w:b/>
              </w:rPr>
            </w:pPr>
            <w:r w:rsidRPr="00D31AB1">
              <w:rPr>
                <w:b/>
              </w:rPr>
              <w:t>Symbol</w:t>
            </w:r>
          </w:p>
        </w:tc>
        <w:tc>
          <w:tcPr>
            <w:tcW w:w="1440" w:type="dxa"/>
            <w:shd w:val="clear" w:color="auto" w:fill="auto"/>
          </w:tcPr>
          <w:p w14:paraId="3C097ABC" w14:textId="77777777" w:rsidR="00D31AB1" w:rsidRPr="00D31AB1" w:rsidRDefault="00D31AB1" w:rsidP="00D31AB1">
            <w:pPr>
              <w:pStyle w:val="NoSpacing"/>
              <w:rPr>
                <w:b/>
              </w:rPr>
            </w:pPr>
            <w:r w:rsidRPr="00D31AB1">
              <w:rPr>
                <w:b/>
              </w:rPr>
              <w:t>Anti-particle</w:t>
            </w:r>
          </w:p>
        </w:tc>
        <w:tc>
          <w:tcPr>
            <w:tcW w:w="1710" w:type="dxa"/>
            <w:shd w:val="clear" w:color="auto" w:fill="auto"/>
          </w:tcPr>
          <w:p w14:paraId="52B65896" w14:textId="77777777" w:rsidR="00D31AB1" w:rsidRPr="00D31AB1" w:rsidRDefault="00D31AB1" w:rsidP="00D31AB1">
            <w:pPr>
              <w:pStyle w:val="NoSpacing"/>
              <w:rPr>
                <w:b/>
              </w:rPr>
            </w:pPr>
            <w:r w:rsidRPr="00D31AB1">
              <w:rPr>
                <w:b/>
              </w:rPr>
              <w:t>Mass (MeV/c</w:t>
            </w:r>
            <w:r w:rsidRPr="00D31AB1">
              <w:rPr>
                <w:b/>
                <w:vertAlign w:val="superscript"/>
              </w:rPr>
              <w:t>2</w:t>
            </w:r>
            <w:r w:rsidRPr="00D31AB1">
              <w:rPr>
                <w:b/>
              </w:rPr>
              <w:t>)</w:t>
            </w:r>
          </w:p>
        </w:tc>
        <w:tc>
          <w:tcPr>
            <w:tcW w:w="450" w:type="dxa"/>
            <w:shd w:val="clear" w:color="auto" w:fill="auto"/>
          </w:tcPr>
          <w:p w14:paraId="3871479D" w14:textId="77777777" w:rsidR="00D31AB1" w:rsidRPr="00D31AB1" w:rsidRDefault="00D31AB1" w:rsidP="00D31AB1">
            <w:pPr>
              <w:pStyle w:val="NoSpacing"/>
              <w:rPr>
                <w:b/>
              </w:rPr>
            </w:pPr>
            <w:r w:rsidRPr="00D31AB1">
              <w:rPr>
                <w:b/>
              </w:rPr>
              <w:t>L</w:t>
            </w:r>
            <w:r w:rsidRPr="00D31AB1">
              <w:rPr>
                <w:b/>
                <w:vertAlign w:val="subscript"/>
              </w:rPr>
              <w:t>e</w:t>
            </w:r>
          </w:p>
        </w:tc>
        <w:tc>
          <w:tcPr>
            <w:tcW w:w="540" w:type="dxa"/>
            <w:shd w:val="clear" w:color="auto" w:fill="auto"/>
          </w:tcPr>
          <w:p w14:paraId="6CD512B2" w14:textId="77777777" w:rsidR="00D31AB1" w:rsidRPr="00D31AB1" w:rsidRDefault="00D31AB1" w:rsidP="00D31AB1">
            <w:pPr>
              <w:pStyle w:val="NoSpacing"/>
              <w:rPr>
                <w:b/>
                <w:vertAlign w:val="subscript"/>
              </w:rPr>
            </w:pPr>
            <w:r w:rsidRPr="00D31AB1">
              <w:rPr>
                <w:b/>
              </w:rPr>
              <w:t>L</w:t>
            </w:r>
            <w:r w:rsidRPr="00D31AB1">
              <w:rPr>
                <w:b/>
                <w:vertAlign w:val="subscript"/>
              </w:rPr>
              <w:t>μ</w:t>
            </w:r>
          </w:p>
        </w:tc>
        <w:tc>
          <w:tcPr>
            <w:tcW w:w="450" w:type="dxa"/>
            <w:shd w:val="clear" w:color="auto" w:fill="auto"/>
          </w:tcPr>
          <w:p w14:paraId="453B2D80" w14:textId="77777777" w:rsidR="00D31AB1" w:rsidRPr="00D31AB1" w:rsidRDefault="00D31AB1" w:rsidP="00D31AB1">
            <w:pPr>
              <w:pStyle w:val="NoSpacing"/>
              <w:rPr>
                <w:b/>
                <w:vertAlign w:val="subscript"/>
              </w:rPr>
            </w:pPr>
            <w:r w:rsidRPr="00D31AB1">
              <w:rPr>
                <w:b/>
              </w:rPr>
              <w:t>L</w:t>
            </w:r>
            <w:r w:rsidRPr="00D31AB1">
              <w:rPr>
                <w:b/>
                <w:vertAlign w:val="subscript"/>
              </w:rPr>
              <w:t>τ</w:t>
            </w:r>
          </w:p>
        </w:tc>
        <w:tc>
          <w:tcPr>
            <w:tcW w:w="1170" w:type="dxa"/>
            <w:shd w:val="clear" w:color="auto" w:fill="auto"/>
          </w:tcPr>
          <w:p w14:paraId="0A4D64A4" w14:textId="77777777" w:rsidR="00D31AB1" w:rsidRPr="00D31AB1" w:rsidRDefault="00D31AB1" w:rsidP="00D31AB1">
            <w:pPr>
              <w:pStyle w:val="NoSpacing"/>
              <w:rPr>
                <w:b/>
              </w:rPr>
            </w:pPr>
            <w:r w:rsidRPr="00D31AB1">
              <w:rPr>
                <w:b/>
              </w:rPr>
              <w:t>lifetime</w:t>
            </w:r>
          </w:p>
        </w:tc>
      </w:tr>
      <w:tr w:rsidR="00B131AD" w:rsidRPr="00D31AB1" w14:paraId="468D68FE" w14:textId="77777777" w:rsidTr="00B131AD">
        <w:tc>
          <w:tcPr>
            <w:tcW w:w="2065" w:type="dxa"/>
            <w:shd w:val="clear" w:color="auto" w:fill="auto"/>
          </w:tcPr>
          <w:p w14:paraId="5476685F" w14:textId="77777777" w:rsidR="00D31AB1" w:rsidRPr="00D31AB1" w:rsidRDefault="00D31AB1" w:rsidP="00D31AB1">
            <w:pPr>
              <w:pStyle w:val="NoSpacing"/>
              <w:rPr>
                <w:b/>
              </w:rPr>
            </w:pPr>
            <w:r w:rsidRPr="00D31AB1">
              <w:rPr>
                <w:b/>
              </w:rPr>
              <w:t>Electron</w:t>
            </w:r>
          </w:p>
        </w:tc>
        <w:tc>
          <w:tcPr>
            <w:tcW w:w="1080" w:type="dxa"/>
            <w:shd w:val="clear" w:color="auto" w:fill="auto"/>
          </w:tcPr>
          <w:p w14:paraId="5D8EE338" w14:textId="77777777" w:rsidR="00D31AB1" w:rsidRPr="00D31AB1" w:rsidRDefault="00D31AB1" w:rsidP="00D31AB1">
            <w:pPr>
              <w:pStyle w:val="NoSpacing"/>
            </w:pPr>
            <w:r w:rsidRPr="00D31AB1">
              <w:t>e</w:t>
            </w:r>
            <w:r w:rsidRPr="00D31AB1">
              <w:rPr>
                <w:vertAlign w:val="superscript"/>
              </w:rPr>
              <w:t>-</w:t>
            </w:r>
          </w:p>
        </w:tc>
        <w:tc>
          <w:tcPr>
            <w:tcW w:w="1440" w:type="dxa"/>
            <w:shd w:val="clear" w:color="auto" w:fill="auto"/>
          </w:tcPr>
          <w:p w14:paraId="4DAFCBF6" w14:textId="77777777" w:rsidR="00D31AB1" w:rsidRPr="00D31AB1" w:rsidRDefault="00D31AB1" w:rsidP="00D31AB1">
            <w:pPr>
              <w:pStyle w:val="NoSpacing"/>
            </w:pPr>
            <w:r w:rsidRPr="00D31AB1">
              <w:t>e</w:t>
            </w:r>
            <w:r w:rsidRPr="00D31AB1">
              <w:rPr>
                <w:vertAlign w:val="superscript"/>
              </w:rPr>
              <w:t>+</w:t>
            </w:r>
          </w:p>
        </w:tc>
        <w:tc>
          <w:tcPr>
            <w:tcW w:w="1710" w:type="dxa"/>
            <w:shd w:val="clear" w:color="auto" w:fill="auto"/>
          </w:tcPr>
          <w:p w14:paraId="6C30766E" w14:textId="77777777" w:rsidR="00D31AB1" w:rsidRPr="00D31AB1" w:rsidRDefault="00D31AB1" w:rsidP="00D31AB1">
            <w:pPr>
              <w:pStyle w:val="NoSpacing"/>
            </w:pPr>
            <w:r w:rsidRPr="00D31AB1">
              <w:t>0.511</w:t>
            </w:r>
          </w:p>
        </w:tc>
        <w:tc>
          <w:tcPr>
            <w:tcW w:w="450" w:type="dxa"/>
            <w:shd w:val="clear" w:color="auto" w:fill="auto"/>
          </w:tcPr>
          <w:p w14:paraId="1A3C408A" w14:textId="77777777" w:rsidR="00D31AB1" w:rsidRPr="00D31AB1" w:rsidRDefault="00D31AB1" w:rsidP="00D31AB1">
            <w:pPr>
              <w:pStyle w:val="NoSpacing"/>
            </w:pPr>
            <w:r w:rsidRPr="00D31AB1">
              <w:t>1</w:t>
            </w:r>
          </w:p>
        </w:tc>
        <w:tc>
          <w:tcPr>
            <w:tcW w:w="540" w:type="dxa"/>
            <w:shd w:val="clear" w:color="auto" w:fill="auto"/>
          </w:tcPr>
          <w:p w14:paraId="1484BB3D" w14:textId="77777777" w:rsidR="00D31AB1" w:rsidRPr="00D31AB1" w:rsidRDefault="00D31AB1" w:rsidP="00D31AB1">
            <w:pPr>
              <w:pStyle w:val="NoSpacing"/>
            </w:pPr>
            <w:r w:rsidRPr="00D31AB1">
              <w:t>0</w:t>
            </w:r>
          </w:p>
        </w:tc>
        <w:tc>
          <w:tcPr>
            <w:tcW w:w="450" w:type="dxa"/>
            <w:shd w:val="clear" w:color="auto" w:fill="auto"/>
          </w:tcPr>
          <w:p w14:paraId="430FC31D" w14:textId="77777777" w:rsidR="00D31AB1" w:rsidRPr="00D31AB1" w:rsidRDefault="00D31AB1" w:rsidP="00D31AB1">
            <w:pPr>
              <w:pStyle w:val="NoSpacing"/>
            </w:pPr>
            <w:r w:rsidRPr="00D31AB1">
              <w:t>0</w:t>
            </w:r>
          </w:p>
        </w:tc>
        <w:tc>
          <w:tcPr>
            <w:tcW w:w="1170" w:type="dxa"/>
            <w:shd w:val="clear" w:color="auto" w:fill="auto"/>
          </w:tcPr>
          <w:p w14:paraId="4EBD12F7" w14:textId="77777777" w:rsidR="00D31AB1" w:rsidRPr="00D31AB1" w:rsidRDefault="00D31AB1" w:rsidP="00D31AB1">
            <w:pPr>
              <w:pStyle w:val="NoSpacing"/>
            </w:pPr>
            <w:r w:rsidRPr="00D31AB1">
              <w:t>stable</w:t>
            </w:r>
          </w:p>
        </w:tc>
      </w:tr>
      <w:tr w:rsidR="00B131AD" w:rsidRPr="00D31AB1" w14:paraId="2B2506E8" w14:textId="77777777" w:rsidTr="00B131AD">
        <w:tc>
          <w:tcPr>
            <w:tcW w:w="2065" w:type="dxa"/>
            <w:shd w:val="clear" w:color="auto" w:fill="auto"/>
          </w:tcPr>
          <w:p w14:paraId="3A01BB41" w14:textId="77777777" w:rsidR="00D31AB1" w:rsidRPr="00D31AB1" w:rsidRDefault="00D31AB1" w:rsidP="00D31AB1">
            <w:pPr>
              <w:pStyle w:val="NoSpacing"/>
              <w:rPr>
                <w:b/>
              </w:rPr>
            </w:pPr>
            <w:r w:rsidRPr="00D31AB1">
              <w:rPr>
                <w:b/>
              </w:rPr>
              <w:t>Electron neutrino</w:t>
            </w:r>
          </w:p>
        </w:tc>
        <w:tc>
          <w:tcPr>
            <w:tcW w:w="1080" w:type="dxa"/>
            <w:shd w:val="clear" w:color="auto" w:fill="auto"/>
          </w:tcPr>
          <w:p w14:paraId="6F79846D" w14:textId="77777777" w:rsidR="00D31AB1" w:rsidRPr="00D31AB1" w:rsidRDefault="00D31AB1" w:rsidP="00D31AB1">
            <w:pPr>
              <w:pStyle w:val="NoSpacing"/>
              <w:rPr>
                <w:vertAlign w:val="superscript"/>
              </w:rPr>
            </w:pPr>
            <w:r w:rsidRPr="00D31AB1">
              <w:t>ν</w:t>
            </w:r>
            <w:r w:rsidRPr="00D31AB1">
              <w:rPr>
                <w:vertAlign w:val="subscript"/>
              </w:rPr>
              <w:t>e</w:t>
            </w:r>
          </w:p>
        </w:tc>
        <w:tc>
          <w:tcPr>
            <w:tcW w:w="1440" w:type="dxa"/>
            <w:shd w:val="clear" w:color="auto" w:fill="auto"/>
          </w:tcPr>
          <w:p w14:paraId="23DA454E" w14:textId="77777777" w:rsidR="00D31AB1" w:rsidRPr="00D31AB1" w:rsidRDefault="00D31AB1" w:rsidP="00D31AB1">
            <w:pPr>
              <w:pStyle w:val="NoSpacing"/>
            </w:pPr>
            <w:r w:rsidRPr="00D31AB1">
              <w:object w:dxaOrig="260" w:dyaOrig="360" w14:anchorId="489D756C">
                <v:shape id="_x0000_i2931" type="#_x0000_t75" style="width:13.1pt;height:18pt" o:ole="">
                  <v:imagedata r:id="rId7" o:title=""/>
                </v:shape>
                <o:OLEObject Type="Embed" ProgID="Equation.DSMT4" ShapeID="_x0000_i2931" DrawAspect="Content" ObjectID="_1719242578" r:id="rId8"/>
              </w:object>
            </w:r>
          </w:p>
        </w:tc>
        <w:tc>
          <w:tcPr>
            <w:tcW w:w="1710" w:type="dxa"/>
            <w:shd w:val="clear" w:color="auto" w:fill="auto"/>
          </w:tcPr>
          <w:p w14:paraId="07A196FC" w14:textId="77777777" w:rsidR="00D31AB1" w:rsidRPr="00D31AB1" w:rsidRDefault="00D31AB1" w:rsidP="00D31AB1">
            <w:pPr>
              <w:pStyle w:val="NoSpacing"/>
            </w:pPr>
            <w:r w:rsidRPr="00D31AB1">
              <w:t>3×10</w:t>
            </w:r>
            <w:r w:rsidRPr="00D31AB1">
              <w:rPr>
                <w:vertAlign w:val="superscript"/>
              </w:rPr>
              <w:t>-6</w:t>
            </w:r>
          </w:p>
        </w:tc>
        <w:tc>
          <w:tcPr>
            <w:tcW w:w="450" w:type="dxa"/>
            <w:shd w:val="clear" w:color="auto" w:fill="auto"/>
          </w:tcPr>
          <w:p w14:paraId="5D29E643" w14:textId="77777777" w:rsidR="00D31AB1" w:rsidRPr="00D31AB1" w:rsidRDefault="00D31AB1" w:rsidP="00D31AB1">
            <w:pPr>
              <w:pStyle w:val="NoSpacing"/>
            </w:pPr>
            <w:r w:rsidRPr="00D31AB1">
              <w:t>1</w:t>
            </w:r>
          </w:p>
        </w:tc>
        <w:tc>
          <w:tcPr>
            <w:tcW w:w="540" w:type="dxa"/>
            <w:shd w:val="clear" w:color="auto" w:fill="auto"/>
          </w:tcPr>
          <w:p w14:paraId="2B737255" w14:textId="77777777" w:rsidR="00D31AB1" w:rsidRPr="00D31AB1" w:rsidRDefault="00D31AB1" w:rsidP="00D31AB1">
            <w:pPr>
              <w:pStyle w:val="NoSpacing"/>
            </w:pPr>
            <w:r w:rsidRPr="00D31AB1">
              <w:t>0</w:t>
            </w:r>
          </w:p>
        </w:tc>
        <w:tc>
          <w:tcPr>
            <w:tcW w:w="450" w:type="dxa"/>
            <w:shd w:val="clear" w:color="auto" w:fill="auto"/>
          </w:tcPr>
          <w:p w14:paraId="06F5E021" w14:textId="77777777" w:rsidR="00D31AB1" w:rsidRPr="00D31AB1" w:rsidRDefault="00D31AB1" w:rsidP="00D31AB1">
            <w:pPr>
              <w:pStyle w:val="NoSpacing"/>
            </w:pPr>
            <w:r w:rsidRPr="00D31AB1">
              <w:t>0</w:t>
            </w:r>
          </w:p>
        </w:tc>
        <w:tc>
          <w:tcPr>
            <w:tcW w:w="1170" w:type="dxa"/>
            <w:shd w:val="clear" w:color="auto" w:fill="auto"/>
          </w:tcPr>
          <w:p w14:paraId="21A3FCC6" w14:textId="77777777" w:rsidR="00D31AB1" w:rsidRPr="00D31AB1" w:rsidRDefault="00D31AB1" w:rsidP="00D31AB1">
            <w:pPr>
              <w:pStyle w:val="NoSpacing"/>
            </w:pPr>
            <w:r w:rsidRPr="00D31AB1">
              <w:t>stable</w:t>
            </w:r>
          </w:p>
        </w:tc>
      </w:tr>
      <w:tr w:rsidR="00B131AD" w:rsidRPr="00D31AB1" w14:paraId="667D3465" w14:textId="77777777" w:rsidTr="00B131AD">
        <w:tc>
          <w:tcPr>
            <w:tcW w:w="2065" w:type="dxa"/>
            <w:shd w:val="clear" w:color="auto" w:fill="auto"/>
          </w:tcPr>
          <w:p w14:paraId="4686B6FE" w14:textId="77777777" w:rsidR="00D31AB1" w:rsidRPr="00D31AB1" w:rsidRDefault="00D31AB1" w:rsidP="00D31AB1">
            <w:pPr>
              <w:pStyle w:val="NoSpacing"/>
              <w:rPr>
                <w:b/>
              </w:rPr>
            </w:pPr>
            <w:r w:rsidRPr="00D31AB1">
              <w:rPr>
                <w:b/>
              </w:rPr>
              <w:t>Muon</w:t>
            </w:r>
          </w:p>
        </w:tc>
        <w:tc>
          <w:tcPr>
            <w:tcW w:w="1080" w:type="dxa"/>
            <w:shd w:val="clear" w:color="auto" w:fill="auto"/>
          </w:tcPr>
          <w:p w14:paraId="3926F767" w14:textId="77777777" w:rsidR="00D31AB1" w:rsidRPr="00D31AB1" w:rsidRDefault="00D31AB1" w:rsidP="00D31AB1">
            <w:pPr>
              <w:pStyle w:val="NoSpacing"/>
            </w:pPr>
            <w:r w:rsidRPr="00D31AB1">
              <w:t>μ</w:t>
            </w:r>
            <w:r w:rsidRPr="00D31AB1">
              <w:rPr>
                <w:vertAlign w:val="superscript"/>
              </w:rPr>
              <w:t>-</w:t>
            </w:r>
          </w:p>
        </w:tc>
        <w:tc>
          <w:tcPr>
            <w:tcW w:w="1440" w:type="dxa"/>
            <w:shd w:val="clear" w:color="auto" w:fill="auto"/>
          </w:tcPr>
          <w:p w14:paraId="26EE0F0C" w14:textId="77777777" w:rsidR="00D31AB1" w:rsidRPr="00D31AB1" w:rsidRDefault="00D31AB1" w:rsidP="00D31AB1">
            <w:pPr>
              <w:pStyle w:val="NoSpacing"/>
            </w:pPr>
            <w:r w:rsidRPr="00D31AB1">
              <w:t>μ</w:t>
            </w:r>
            <w:r w:rsidRPr="00D31AB1">
              <w:rPr>
                <w:vertAlign w:val="superscript"/>
              </w:rPr>
              <w:t>+</w:t>
            </w:r>
          </w:p>
        </w:tc>
        <w:tc>
          <w:tcPr>
            <w:tcW w:w="1710" w:type="dxa"/>
            <w:shd w:val="clear" w:color="auto" w:fill="auto"/>
          </w:tcPr>
          <w:p w14:paraId="15C41707" w14:textId="77777777" w:rsidR="00D31AB1" w:rsidRPr="00D31AB1" w:rsidRDefault="00D31AB1" w:rsidP="00D31AB1">
            <w:pPr>
              <w:pStyle w:val="NoSpacing"/>
            </w:pPr>
            <w:r w:rsidRPr="00D31AB1">
              <w:t>105.7</w:t>
            </w:r>
          </w:p>
        </w:tc>
        <w:tc>
          <w:tcPr>
            <w:tcW w:w="450" w:type="dxa"/>
            <w:shd w:val="clear" w:color="auto" w:fill="auto"/>
          </w:tcPr>
          <w:p w14:paraId="1EB42EF4" w14:textId="77777777" w:rsidR="00D31AB1" w:rsidRPr="00D31AB1" w:rsidRDefault="00D31AB1" w:rsidP="00D31AB1">
            <w:pPr>
              <w:pStyle w:val="NoSpacing"/>
            </w:pPr>
            <w:r w:rsidRPr="00D31AB1">
              <w:t>0</w:t>
            </w:r>
          </w:p>
        </w:tc>
        <w:tc>
          <w:tcPr>
            <w:tcW w:w="540" w:type="dxa"/>
            <w:shd w:val="clear" w:color="auto" w:fill="auto"/>
          </w:tcPr>
          <w:p w14:paraId="0179FE17" w14:textId="77777777" w:rsidR="00D31AB1" w:rsidRPr="00D31AB1" w:rsidRDefault="00D31AB1" w:rsidP="00D31AB1">
            <w:pPr>
              <w:pStyle w:val="NoSpacing"/>
            </w:pPr>
            <w:r w:rsidRPr="00D31AB1">
              <w:t>1</w:t>
            </w:r>
          </w:p>
        </w:tc>
        <w:tc>
          <w:tcPr>
            <w:tcW w:w="450" w:type="dxa"/>
            <w:shd w:val="clear" w:color="auto" w:fill="auto"/>
          </w:tcPr>
          <w:p w14:paraId="40157BB7" w14:textId="77777777" w:rsidR="00D31AB1" w:rsidRPr="00D31AB1" w:rsidRDefault="00D31AB1" w:rsidP="00D31AB1">
            <w:pPr>
              <w:pStyle w:val="NoSpacing"/>
            </w:pPr>
            <w:r w:rsidRPr="00D31AB1">
              <w:t>0</w:t>
            </w:r>
          </w:p>
        </w:tc>
        <w:tc>
          <w:tcPr>
            <w:tcW w:w="1170" w:type="dxa"/>
            <w:shd w:val="clear" w:color="auto" w:fill="auto"/>
          </w:tcPr>
          <w:p w14:paraId="133800A3" w14:textId="77777777" w:rsidR="00D31AB1" w:rsidRPr="00D31AB1" w:rsidRDefault="00D31AB1" w:rsidP="00D31AB1">
            <w:pPr>
              <w:pStyle w:val="NoSpacing"/>
              <w:rPr>
                <w:vertAlign w:val="superscript"/>
              </w:rPr>
            </w:pPr>
            <w:r w:rsidRPr="00D31AB1">
              <w:t>2.2μs</w:t>
            </w:r>
          </w:p>
        </w:tc>
      </w:tr>
      <w:tr w:rsidR="00B131AD" w:rsidRPr="00D31AB1" w14:paraId="3416C457" w14:textId="77777777" w:rsidTr="00B131AD">
        <w:tc>
          <w:tcPr>
            <w:tcW w:w="2065" w:type="dxa"/>
            <w:shd w:val="clear" w:color="auto" w:fill="auto"/>
          </w:tcPr>
          <w:p w14:paraId="6C4FF5F5" w14:textId="77777777" w:rsidR="00D31AB1" w:rsidRPr="00D31AB1" w:rsidRDefault="00D31AB1" w:rsidP="00D31AB1">
            <w:pPr>
              <w:pStyle w:val="NoSpacing"/>
              <w:rPr>
                <w:b/>
              </w:rPr>
            </w:pPr>
            <w:r w:rsidRPr="00D31AB1">
              <w:rPr>
                <w:b/>
              </w:rPr>
              <w:t>Muon neutrino</w:t>
            </w:r>
          </w:p>
        </w:tc>
        <w:tc>
          <w:tcPr>
            <w:tcW w:w="1080" w:type="dxa"/>
            <w:shd w:val="clear" w:color="auto" w:fill="auto"/>
          </w:tcPr>
          <w:p w14:paraId="529BAE17" w14:textId="77777777" w:rsidR="00D31AB1" w:rsidRPr="00D31AB1" w:rsidRDefault="00D31AB1" w:rsidP="00D31AB1">
            <w:pPr>
              <w:pStyle w:val="NoSpacing"/>
              <w:rPr>
                <w:vertAlign w:val="subscript"/>
              </w:rPr>
            </w:pPr>
            <w:r w:rsidRPr="00D31AB1">
              <w:t>ν</w:t>
            </w:r>
            <w:r w:rsidRPr="00D31AB1">
              <w:softHyphen/>
            </w:r>
            <w:r w:rsidRPr="00D31AB1">
              <w:rPr>
                <w:vertAlign w:val="subscript"/>
              </w:rPr>
              <w:t>μ</w:t>
            </w:r>
          </w:p>
        </w:tc>
        <w:tc>
          <w:tcPr>
            <w:tcW w:w="1440" w:type="dxa"/>
            <w:shd w:val="clear" w:color="auto" w:fill="auto"/>
          </w:tcPr>
          <w:p w14:paraId="39728C63" w14:textId="77777777" w:rsidR="00D31AB1" w:rsidRPr="00D31AB1" w:rsidRDefault="00D31AB1" w:rsidP="00D31AB1">
            <w:pPr>
              <w:pStyle w:val="NoSpacing"/>
            </w:pPr>
            <w:r w:rsidRPr="00D31AB1">
              <w:object w:dxaOrig="279" w:dyaOrig="380" w14:anchorId="5BAE7F0F">
                <v:shape id="_x0000_i2932" type="#_x0000_t75" style="width:13.65pt;height:19.1pt" o:ole="">
                  <v:imagedata r:id="rId9" o:title=""/>
                </v:shape>
                <o:OLEObject Type="Embed" ProgID="Equation.DSMT4" ShapeID="_x0000_i2932" DrawAspect="Content" ObjectID="_1719242579" r:id="rId10"/>
              </w:object>
            </w:r>
          </w:p>
        </w:tc>
        <w:tc>
          <w:tcPr>
            <w:tcW w:w="1710" w:type="dxa"/>
            <w:shd w:val="clear" w:color="auto" w:fill="auto"/>
          </w:tcPr>
          <w:p w14:paraId="7A80783F" w14:textId="77777777" w:rsidR="00D31AB1" w:rsidRPr="00D31AB1" w:rsidRDefault="00D31AB1" w:rsidP="00D31AB1">
            <w:pPr>
              <w:pStyle w:val="NoSpacing"/>
            </w:pPr>
            <w:r w:rsidRPr="00D31AB1">
              <w:t>0.19</w:t>
            </w:r>
          </w:p>
        </w:tc>
        <w:tc>
          <w:tcPr>
            <w:tcW w:w="450" w:type="dxa"/>
            <w:shd w:val="clear" w:color="auto" w:fill="auto"/>
          </w:tcPr>
          <w:p w14:paraId="2D91F143" w14:textId="77777777" w:rsidR="00D31AB1" w:rsidRPr="00D31AB1" w:rsidRDefault="00D31AB1" w:rsidP="00D31AB1">
            <w:pPr>
              <w:pStyle w:val="NoSpacing"/>
            </w:pPr>
            <w:r w:rsidRPr="00D31AB1">
              <w:t>0</w:t>
            </w:r>
          </w:p>
        </w:tc>
        <w:tc>
          <w:tcPr>
            <w:tcW w:w="540" w:type="dxa"/>
            <w:shd w:val="clear" w:color="auto" w:fill="auto"/>
          </w:tcPr>
          <w:p w14:paraId="52E1723A" w14:textId="77777777" w:rsidR="00D31AB1" w:rsidRPr="00D31AB1" w:rsidRDefault="00D31AB1" w:rsidP="00D31AB1">
            <w:pPr>
              <w:pStyle w:val="NoSpacing"/>
            </w:pPr>
            <w:r w:rsidRPr="00D31AB1">
              <w:t>1</w:t>
            </w:r>
          </w:p>
        </w:tc>
        <w:tc>
          <w:tcPr>
            <w:tcW w:w="450" w:type="dxa"/>
            <w:shd w:val="clear" w:color="auto" w:fill="auto"/>
          </w:tcPr>
          <w:p w14:paraId="2DE80193" w14:textId="77777777" w:rsidR="00D31AB1" w:rsidRPr="00D31AB1" w:rsidRDefault="00D31AB1" w:rsidP="00D31AB1">
            <w:pPr>
              <w:pStyle w:val="NoSpacing"/>
            </w:pPr>
            <w:r w:rsidRPr="00D31AB1">
              <w:t>0</w:t>
            </w:r>
          </w:p>
        </w:tc>
        <w:tc>
          <w:tcPr>
            <w:tcW w:w="1170" w:type="dxa"/>
            <w:shd w:val="clear" w:color="auto" w:fill="auto"/>
          </w:tcPr>
          <w:p w14:paraId="38912A76" w14:textId="77777777" w:rsidR="00D31AB1" w:rsidRPr="00D31AB1" w:rsidRDefault="00D31AB1" w:rsidP="00D31AB1">
            <w:pPr>
              <w:pStyle w:val="NoSpacing"/>
            </w:pPr>
            <w:r w:rsidRPr="00D31AB1">
              <w:t>stable</w:t>
            </w:r>
          </w:p>
        </w:tc>
      </w:tr>
      <w:tr w:rsidR="00B131AD" w:rsidRPr="00D31AB1" w14:paraId="4829C284" w14:textId="77777777" w:rsidTr="00B131AD">
        <w:tc>
          <w:tcPr>
            <w:tcW w:w="2065" w:type="dxa"/>
            <w:shd w:val="clear" w:color="auto" w:fill="auto"/>
          </w:tcPr>
          <w:p w14:paraId="6876FE6B" w14:textId="77777777" w:rsidR="00D31AB1" w:rsidRPr="00D31AB1" w:rsidRDefault="00D31AB1" w:rsidP="00D31AB1">
            <w:pPr>
              <w:pStyle w:val="NoSpacing"/>
              <w:rPr>
                <w:b/>
              </w:rPr>
            </w:pPr>
            <w:r w:rsidRPr="00D31AB1">
              <w:rPr>
                <w:b/>
              </w:rPr>
              <w:t>Tau</w:t>
            </w:r>
          </w:p>
        </w:tc>
        <w:tc>
          <w:tcPr>
            <w:tcW w:w="1080" w:type="dxa"/>
            <w:shd w:val="clear" w:color="auto" w:fill="auto"/>
          </w:tcPr>
          <w:p w14:paraId="380B2D48" w14:textId="77777777" w:rsidR="00D31AB1" w:rsidRPr="00D31AB1" w:rsidRDefault="00D31AB1" w:rsidP="00D31AB1">
            <w:pPr>
              <w:pStyle w:val="NoSpacing"/>
            </w:pPr>
            <w:r w:rsidRPr="00D31AB1">
              <w:t>τ</w:t>
            </w:r>
            <w:r w:rsidRPr="00D31AB1">
              <w:rPr>
                <w:vertAlign w:val="superscript"/>
              </w:rPr>
              <w:t>-</w:t>
            </w:r>
          </w:p>
        </w:tc>
        <w:tc>
          <w:tcPr>
            <w:tcW w:w="1440" w:type="dxa"/>
            <w:shd w:val="clear" w:color="auto" w:fill="auto"/>
          </w:tcPr>
          <w:p w14:paraId="1FD4F7E7" w14:textId="77777777" w:rsidR="00D31AB1" w:rsidRPr="00D31AB1" w:rsidRDefault="00D31AB1" w:rsidP="00D31AB1">
            <w:pPr>
              <w:pStyle w:val="NoSpacing"/>
            </w:pPr>
            <w:r w:rsidRPr="00D31AB1">
              <w:t>τ</w:t>
            </w:r>
            <w:r w:rsidRPr="00D31AB1">
              <w:rPr>
                <w:vertAlign w:val="superscript"/>
              </w:rPr>
              <w:t>+</w:t>
            </w:r>
          </w:p>
        </w:tc>
        <w:tc>
          <w:tcPr>
            <w:tcW w:w="1710" w:type="dxa"/>
            <w:shd w:val="clear" w:color="auto" w:fill="auto"/>
          </w:tcPr>
          <w:p w14:paraId="48371D1A" w14:textId="77777777" w:rsidR="00D31AB1" w:rsidRPr="00D31AB1" w:rsidRDefault="00D31AB1" w:rsidP="00D31AB1">
            <w:pPr>
              <w:pStyle w:val="NoSpacing"/>
            </w:pPr>
            <w:r w:rsidRPr="00D31AB1">
              <w:t>1777</w:t>
            </w:r>
          </w:p>
        </w:tc>
        <w:tc>
          <w:tcPr>
            <w:tcW w:w="450" w:type="dxa"/>
            <w:shd w:val="clear" w:color="auto" w:fill="auto"/>
          </w:tcPr>
          <w:p w14:paraId="05645387" w14:textId="77777777" w:rsidR="00D31AB1" w:rsidRPr="00D31AB1" w:rsidRDefault="00D31AB1" w:rsidP="00D31AB1">
            <w:pPr>
              <w:pStyle w:val="NoSpacing"/>
            </w:pPr>
            <w:r w:rsidRPr="00D31AB1">
              <w:t>0</w:t>
            </w:r>
          </w:p>
        </w:tc>
        <w:tc>
          <w:tcPr>
            <w:tcW w:w="540" w:type="dxa"/>
            <w:shd w:val="clear" w:color="auto" w:fill="auto"/>
          </w:tcPr>
          <w:p w14:paraId="74E516CA" w14:textId="77777777" w:rsidR="00D31AB1" w:rsidRPr="00D31AB1" w:rsidRDefault="00D31AB1" w:rsidP="00D31AB1">
            <w:pPr>
              <w:pStyle w:val="NoSpacing"/>
            </w:pPr>
            <w:r w:rsidRPr="00D31AB1">
              <w:t>0</w:t>
            </w:r>
          </w:p>
        </w:tc>
        <w:tc>
          <w:tcPr>
            <w:tcW w:w="450" w:type="dxa"/>
            <w:shd w:val="clear" w:color="auto" w:fill="auto"/>
          </w:tcPr>
          <w:p w14:paraId="13A83ECB" w14:textId="77777777" w:rsidR="00D31AB1" w:rsidRPr="00D31AB1" w:rsidRDefault="00D31AB1" w:rsidP="00D31AB1">
            <w:pPr>
              <w:pStyle w:val="NoSpacing"/>
            </w:pPr>
            <w:r w:rsidRPr="00D31AB1">
              <w:t>1</w:t>
            </w:r>
          </w:p>
        </w:tc>
        <w:tc>
          <w:tcPr>
            <w:tcW w:w="1170" w:type="dxa"/>
            <w:shd w:val="clear" w:color="auto" w:fill="auto"/>
          </w:tcPr>
          <w:p w14:paraId="387DAB84" w14:textId="77777777" w:rsidR="00D31AB1" w:rsidRPr="00D31AB1" w:rsidRDefault="00D31AB1" w:rsidP="00D31AB1">
            <w:pPr>
              <w:pStyle w:val="NoSpacing"/>
            </w:pPr>
            <w:r w:rsidRPr="00D31AB1">
              <w:t>0.29 ps</w:t>
            </w:r>
          </w:p>
        </w:tc>
      </w:tr>
      <w:tr w:rsidR="00B131AD" w:rsidRPr="00D31AB1" w14:paraId="734518D2" w14:textId="77777777" w:rsidTr="00B131AD">
        <w:tc>
          <w:tcPr>
            <w:tcW w:w="2065" w:type="dxa"/>
            <w:shd w:val="clear" w:color="auto" w:fill="auto"/>
          </w:tcPr>
          <w:p w14:paraId="05181A73" w14:textId="77777777" w:rsidR="00D31AB1" w:rsidRPr="00D31AB1" w:rsidRDefault="00D31AB1" w:rsidP="00D31AB1">
            <w:pPr>
              <w:pStyle w:val="NoSpacing"/>
              <w:rPr>
                <w:b/>
              </w:rPr>
            </w:pPr>
            <w:r w:rsidRPr="00D31AB1">
              <w:rPr>
                <w:b/>
              </w:rPr>
              <w:t>Tau neutrino</w:t>
            </w:r>
          </w:p>
        </w:tc>
        <w:tc>
          <w:tcPr>
            <w:tcW w:w="1080" w:type="dxa"/>
            <w:shd w:val="clear" w:color="auto" w:fill="auto"/>
          </w:tcPr>
          <w:p w14:paraId="08BB4EC0" w14:textId="77777777" w:rsidR="00D31AB1" w:rsidRPr="00D31AB1" w:rsidRDefault="00D31AB1" w:rsidP="00D31AB1">
            <w:pPr>
              <w:pStyle w:val="NoSpacing"/>
              <w:rPr>
                <w:vertAlign w:val="subscript"/>
              </w:rPr>
            </w:pPr>
            <w:r w:rsidRPr="00D31AB1">
              <w:t>ν</w:t>
            </w:r>
            <w:r w:rsidRPr="00D31AB1">
              <w:rPr>
                <w:vertAlign w:val="subscript"/>
              </w:rPr>
              <w:t>τ</w:t>
            </w:r>
          </w:p>
        </w:tc>
        <w:tc>
          <w:tcPr>
            <w:tcW w:w="1440" w:type="dxa"/>
            <w:shd w:val="clear" w:color="auto" w:fill="auto"/>
          </w:tcPr>
          <w:p w14:paraId="14C8CC3B" w14:textId="77777777" w:rsidR="00D31AB1" w:rsidRPr="00D31AB1" w:rsidRDefault="00D31AB1" w:rsidP="00D31AB1">
            <w:pPr>
              <w:pStyle w:val="NoSpacing"/>
            </w:pPr>
            <w:r w:rsidRPr="00D31AB1">
              <w:object w:dxaOrig="260" w:dyaOrig="360" w14:anchorId="504D3F96">
                <v:shape id="_x0000_i2933" type="#_x0000_t75" style="width:13.1pt;height:18pt" o:ole="">
                  <v:imagedata r:id="rId11" o:title=""/>
                </v:shape>
                <o:OLEObject Type="Embed" ProgID="Equation.DSMT4" ShapeID="_x0000_i2933" DrawAspect="Content" ObjectID="_1719242580" r:id="rId12"/>
              </w:object>
            </w:r>
          </w:p>
        </w:tc>
        <w:tc>
          <w:tcPr>
            <w:tcW w:w="1710" w:type="dxa"/>
            <w:shd w:val="clear" w:color="auto" w:fill="auto"/>
          </w:tcPr>
          <w:p w14:paraId="764FBAEA" w14:textId="77777777" w:rsidR="00D31AB1" w:rsidRPr="00D31AB1" w:rsidRDefault="00D31AB1" w:rsidP="00D31AB1">
            <w:pPr>
              <w:pStyle w:val="NoSpacing"/>
            </w:pPr>
            <w:r w:rsidRPr="00D31AB1">
              <w:t>18.2</w:t>
            </w:r>
          </w:p>
        </w:tc>
        <w:tc>
          <w:tcPr>
            <w:tcW w:w="450" w:type="dxa"/>
            <w:shd w:val="clear" w:color="auto" w:fill="auto"/>
          </w:tcPr>
          <w:p w14:paraId="6BC287C9" w14:textId="77777777" w:rsidR="00D31AB1" w:rsidRPr="00D31AB1" w:rsidRDefault="00D31AB1" w:rsidP="00D31AB1">
            <w:pPr>
              <w:pStyle w:val="NoSpacing"/>
            </w:pPr>
            <w:r w:rsidRPr="00D31AB1">
              <w:t>0</w:t>
            </w:r>
          </w:p>
        </w:tc>
        <w:tc>
          <w:tcPr>
            <w:tcW w:w="540" w:type="dxa"/>
            <w:shd w:val="clear" w:color="auto" w:fill="auto"/>
          </w:tcPr>
          <w:p w14:paraId="20E00FB3" w14:textId="77777777" w:rsidR="00D31AB1" w:rsidRPr="00D31AB1" w:rsidRDefault="00D31AB1" w:rsidP="00D31AB1">
            <w:pPr>
              <w:pStyle w:val="NoSpacing"/>
            </w:pPr>
            <w:r w:rsidRPr="00D31AB1">
              <w:t>0</w:t>
            </w:r>
          </w:p>
        </w:tc>
        <w:tc>
          <w:tcPr>
            <w:tcW w:w="450" w:type="dxa"/>
            <w:shd w:val="clear" w:color="auto" w:fill="auto"/>
          </w:tcPr>
          <w:p w14:paraId="4EC70C3C" w14:textId="77777777" w:rsidR="00D31AB1" w:rsidRPr="00D31AB1" w:rsidRDefault="00D31AB1" w:rsidP="00D31AB1">
            <w:pPr>
              <w:pStyle w:val="NoSpacing"/>
            </w:pPr>
            <w:r w:rsidRPr="00D31AB1">
              <w:t>1</w:t>
            </w:r>
          </w:p>
        </w:tc>
        <w:tc>
          <w:tcPr>
            <w:tcW w:w="1170" w:type="dxa"/>
            <w:shd w:val="clear" w:color="auto" w:fill="auto"/>
          </w:tcPr>
          <w:p w14:paraId="452D3B34" w14:textId="77777777" w:rsidR="00D31AB1" w:rsidRPr="00D31AB1" w:rsidRDefault="00D31AB1" w:rsidP="00D31AB1">
            <w:pPr>
              <w:pStyle w:val="NoSpacing"/>
            </w:pPr>
            <w:r w:rsidRPr="00D31AB1">
              <w:t>stable</w:t>
            </w:r>
          </w:p>
        </w:tc>
      </w:tr>
    </w:tbl>
    <w:p w14:paraId="3CD635D0" w14:textId="77777777" w:rsidR="00D31AB1" w:rsidRPr="00D31AB1" w:rsidRDefault="00D31AB1" w:rsidP="00D31AB1">
      <w:pPr>
        <w:pStyle w:val="NoSpacing"/>
      </w:pPr>
    </w:p>
    <w:p w14:paraId="00DB3A6B" w14:textId="20EA0EF9" w:rsidR="00D31AB1" w:rsidRPr="00D31AB1" w:rsidRDefault="00D31AB1" w:rsidP="00D31AB1">
      <w:pPr>
        <w:pStyle w:val="NoSpacing"/>
      </w:pPr>
      <w:r w:rsidRPr="00D31AB1">
        <w:t xml:space="preserve">And then we have hadrons, which include subclasses, baryons, and mesons.  Baryons include the proton, neutron, and other so-called hyperons.  </w:t>
      </w:r>
      <w:r w:rsidR="000278F1">
        <w:t xml:space="preserve">Note anti-baryons have anti-baryon number.  </w:t>
      </w:r>
      <w:r w:rsidRPr="00D31AB1">
        <w:t>The meson family includes the pion, π, and other particles.  There are over 250 known hadrons.  Some are given below,</w:t>
      </w:r>
    </w:p>
    <w:p w14:paraId="755CC3C7" w14:textId="77777777" w:rsidR="00D31AB1" w:rsidRPr="00D31AB1" w:rsidRDefault="00D31AB1" w:rsidP="00D31AB1">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265"/>
        <w:gridCol w:w="1265"/>
        <w:gridCol w:w="1265"/>
        <w:gridCol w:w="1265"/>
        <w:gridCol w:w="1321"/>
        <w:gridCol w:w="1266"/>
      </w:tblGrid>
      <w:tr w:rsidR="00D31AB1" w:rsidRPr="00D31AB1" w14:paraId="235D867F" w14:textId="77777777" w:rsidTr="00664D3E">
        <w:tc>
          <w:tcPr>
            <w:tcW w:w="1265" w:type="dxa"/>
            <w:shd w:val="clear" w:color="auto" w:fill="auto"/>
          </w:tcPr>
          <w:p w14:paraId="02CFB03E" w14:textId="77777777" w:rsidR="00D31AB1" w:rsidRPr="00D31AB1" w:rsidRDefault="00D31AB1" w:rsidP="00D31AB1">
            <w:pPr>
              <w:pStyle w:val="NoSpacing"/>
              <w:rPr>
                <w:b/>
              </w:rPr>
            </w:pPr>
            <w:r w:rsidRPr="00D31AB1">
              <w:rPr>
                <w:b/>
              </w:rPr>
              <w:t>Symbol</w:t>
            </w:r>
          </w:p>
        </w:tc>
        <w:tc>
          <w:tcPr>
            <w:tcW w:w="1265" w:type="dxa"/>
            <w:shd w:val="clear" w:color="auto" w:fill="auto"/>
          </w:tcPr>
          <w:p w14:paraId="74A8FEC8" w14:textId="77777777" w:rsidR="00D31AB1" w:rsidRPr="00D31AB1" w:rsidRDefault="00D31AB1" w:rsidP="00D31AB1">
            <w:pPr>
              <w:pStyle w:val="NoSpacing"/>
              <w:rPr>
                <w:b/>
              </w:rPr>
            </w:pPr>
            <w:r w:rsidRPr="00D31AB1">
              <w:rPr>
                <w:b/>
              </w:rPr>
              <w:t>Mass</w:t>
            </w:r>
          </w:p>
        </w:tc>
        <w:tc>
          <w:tcPr>
            <w:tcW w:w="1265" w:type="dxa"/>
            <w:shd w:val="clear" w:color="auto" w:fill="auto"/>
          </w:tcPr>
          <w:p w14:paraId="12432AB5" w14:textId="77777777" w:rsidR="00D31AB1" w:rsidRPr="00D31AB1" w:rsidRDefault="00D31AB1" w:rsidP="00D31AB1">
            <w:pPr>
              <w:pStyle w:val="NoSpacing"/>
              <w:rPr>
                <w:b/>
              </w:rPr>
            </w:pPr>
            <w:r w:rsidRPr="00D31AB1">
              <w:rPr>
                <w:b/>
              </w:rPr>
              <w:t>Charge</w:t>
            </w:r>
          </w:p>
        </w:tc>
        <w:tc>
          <w:tcPr>
            <w:tcW w:w="1265" w:type="dxa"/>
            <w:shd w:val="clear" w:color="auto" w:fill="auto"/>
          </w:tcPr>
          <w:p w14:paraId="35CA2976" w14:textId="77777777" w:rsidR="00D31AB1" w:rsidRPr="00D31AB1" w:rsidRDefault="00D31AB1" w:rsidP="00D31AB1">
            <w:pPr>
              <w:pStyle w:val="NoSpacing"/>
              <w:rPr>
                <w:b/>
              </w:rPr>
            </w:pPr>
            <w:r w:rsidRPr="00D31AB1">
              <w:rPr>
                <w:b/>
              </w:rPr>
              <w:t>Spin</w:t>
            </w:r>
          </w:p>
        </w:tc>
        <w:tc>
          <w:tcPr>
            <w:tcW w:w="1265" w:type="dxa"/>
            <w:shd w:val="clear" w:color="auto" w:fill="auto"/>
          </w:tcPr>
          <w:p w14:paraId="27A56730" w14:textId="77777777" w:rsidR="00D31AB1" w:rsidRPr="00D31AB1" w:rsidRDefault="00D31AB1" w:rsidP="00D31AB1">
            <w:pPr>
              <w:pStyle w:val="NoSpacing"/>
              <w:rPr>
                <w:b/>
              </w:rPr>
            </w:pPr>
            <w:r w:rsidRPr="00D31AB1">
              <w:rPr>
                <w:b/>
              </w:rPr>
              <w:t>Isospin</w:t>
            </w:r>
          </w:p>
        </w:tc>
        <w:tc>
          <w:tcPr>
            <w:tcW w:w="1265" w:type="dxa"/>
            <w:shd w:val="clear" w:color="auto" w:fill="auto"/>
          </w:tcPr>
          <w:p w14:paraId="0F7475AE" w14:textId="77777777" w:rsidR="00D31AB1" w:rsidRPr="00D31AB1" w:rsidRDefault="00D31AB1" w:rsidP="00D31AB1">
            <w:pPr>
              <w:pStyle w:val="NoSpacing"/>
              <w:rPr>
                <w:b/>
              </w:rPr>
            </w:pPr>
            <w:r w:rsidRPr="00D31AB1">
              <w:rPr>
                <w:b/>
              </w:rPr>
              <w:t>Strangeness</w:t>
            </w:r>
          </w:p>
        </w:tc>
        <w:tc>
          <w:tcPr>
            <w:tcW w:w="1266" w:type="dxa"/>
            <w:shd w:val="clear" w:color="auto" w:fill="auto"/>
          </w:tcPr>
          <w:p w14:paraId="01D35481" w14:textId="77777777" w:rsidR="00D31AB1" w:rsidRPr="00D31AB1" w:rsidRDefault="00D31AB1" w:rsidP="00D31AB1">
            <w:pPr>
              <w:pStyle w:val="NoSpacing"/>
              <w:rPr>
                <w:b/>
              </w:rPr>
            </w:pPr>
            <w:r w:rsidRPr="00D31AB1">
              <w:rPr>
                <w:b/>
              </w:rPr>
              <w:t>lifetime</w:t>
            </w:r>
          </w:p>
        </w:tc>
      </w:tr>
      <w:tr w:rsidR="00D31AB1" w:rsidRPr="00D31AB1" w14:paraId="21BDB1B3" w14:textId="77777777" w:rsidTr="00664D3E">
        <w:tc>
          <w:tcPr>
            <w:tcW w:w="1265" w:type="dxa"/>
            <w:shd w:val="clear" w:color="auto" w:fill="auto"/>
          </w:tcPr>
          <w:p w14:paraId="55FD815E" w14:textId="77777777" w:rsidR="00D31AB1" w:rsidRPr="00D31AB1" w:rsidRDefault="00D31AB1" w:rsidP="00D31AB1">
            <w:pPr>
              <w:pStyle w:val="NoSpacing"/>
              <w:rPr>
                <w:b/>
              </w:rPr>
            </w:pPr>
            <w:r w:rsidRPr="00D31AB1">
              <w:rPr>
                <w:b/>
              </w:rPr>
              <w:t>p</w:t>
            </w:r>
          </w:p>
        </w:tc>
        <w:tc>
          <w:tcPr>
            <w:tcW w:w="1265" w:type="dxa"/>
            <w:shd w:val="clear" w:color="auto" w:fill="auto"/>
          </w:tcPr>
          <w:p w14:paraId="7958CBB6" w14:textId="77777777" w:rsidR="00D31AB1" w:rsidRPr="00D31AB1" w:rsidRDefault="00D31AB1" w:rsidP="00D31AB1">
            <w:pPr>
              <w:pStyle w:val="NoSpacing"/>
            </w:pPr>
            <w:r w:rsidRPr="00D31AB1">
              <w:t>938</w:t>
            </w:r>
          </w:p>
        </w:tc>
        <w:tc>
          <w:tcPr>
            <w:tcW w:w="1265" w:type="dxa"/>
            <w:shd w:val="clear" w:color="auto" w:fill="auto"/>
          </w:tcPr>
          <w:p w14:paraId="5E8BF9C7" w14:textId="77777777" w:rsidR="00D31AB1" w:rsidRPr="00D31AB1" w:rsidRDefault="00D31AB1" w:rsidP="00D31AB1">
            <w:pPr>
              <w:pStyle w:val="NoSpacing"/>
            </w:pPr>
            <w:r w:rsidRPr="00D31AB1">
              <w:t>1</w:t>
            </w:r>
          </w:p>
        </w:tc>
        <w:tc>
          <w:tcPr>
            <w:tcW w:w="1265" w:type="dxa"/>
            <w:shd w:val="clear" w:color="auto" w:fill="auto"/>
          </w:tcPr>
          <w:p w14:paraId="3AFA4074" w14:textId="77777777" w:rsidR="00D31AB1" w:rsidRPr="00D31AB1" w:rsidRDefault="00D31AB1" w:rsidP="00D31AB1">
            <w:pPr>
              <w:pStyle w:val="NoSpacing"/>
            </w:pPr>
            <w:r w:rsidRPr="00D31AB1">
              <w:t>1/2</w:t>
            </w:r>
          </w:p>
        </w:tc>
        <w:tc>
          <w:tcPr>
            <w:tcW w:w="1265" w:type="dxa"/>
            <w:shd w:val="clear" w:color="auto" w:fill="auto"/>
          </w:tcPr>
          <w:p w14:paraId="2D8770F7" w14:textId="77777777" w:rsidR="00D31AB1" w:rsidRPr="00D31AB1" w:rsidRDefault="00D31AB1" w:rsidP="00D31AB1">
            <w:pPr>
              <w:pStyle w:val="NoSpacing"/>
            </w:pPr>
            <w:r w:rsidRPr="00D31AB1">
              <w:t>1/2</w:t>
            </w:r>
          </w:p>
        </w:tc>
        <w:tc>
          <w:tcPr>
            <w:tcW w:w="1265" w:type="dxa"/>
            <w:shd w:val="clear" w:color="auto" w:fill="auto"/>
          </w:tcPr>
          <w:p w14:paraId="400590DE" w14:textId="77777777" w:rsidR="00D31AB1" w:rsidRPr="00D31AB1" w:rsidRDefault="00D31AB1" w:rsidP="00D31AB1">
            <w:pPr>
              <w:pStyle w:val="NoSpacing"/>
            </w:pPr>
            <w:r w:rsidRPr="00D31AB1">
              <w:t>0</w:t>
            </w:r>
          </w:p>
        </w:tc>
        <w:tc>
          <w:tcPr>
            <w:tcW w:w="1266" w:type="dxa"/>
            <w:shd w:val="clear" w:color="auto" w:fill="auto"/>
          </w:tcPr>
          <w:p w14:paraId="30936606" w14:textId="77777777" w:rsidR="00D31AB1" w:rsidRPr="00D31AB1" w:rsidRDefault="00D31AB1" w:rsidP="00D31AB1">
            <w:pPr>
              <w:pStyle w:val="NoSpacing"/>
            </w:pPr>
            <w:r w:rsidRPr="00D31AB1">
              <w:t>stable</w:t>
            </w:r>
          </w:p>
        </w:tc>
      </w:tr>
      <w:tr w:rsidR="00D31AB1" w:rsidRPr="00D31AB1" w14:paraId="0CA3A6D3" w14:textId="77777777" w:rsidTr="00664D3E">
        <w:tc>
          <w:tcPr>
            <w:tcW w:w="1265" w:type="dxa"/>
            <w:shd w:val="clear" w:color="auto" w:fill="auto"/>
          </w:tcPr>
          <w:p w14:paraId="0556D861" w14:textId="77777777" w:rsidR="00D31AB1" w:rsidRPr="00D31AB1" w:rsidRDefault="00D31AB1" w:rsidP="00D31AB1">
            <w:pPr>
              <w:pStyle w:val="NoSpacing"/>
              <w:rPr>
                <w:b/>
              </w:rPr>
            </w:pPr>
            <w:r w:rsidRPr="00D31AB1">
              <w:rPr>
                <w:b/>
              </w:rPr>
              <w:t>n</w:t>
            </w:r>
          </w:p>
        </w:tc>
        <w:tc>
          <w:tcPr>
            <w:tcW w:w="1265" w:type="dxa"/>
            <w:shd w:val="clear" w:color="auto" w:fill="auto"/>
          </w:tcPr>
          <w:p w14:paraId="6FB7A520" w14:textId="77777777" w:rsidR="00D31AB1" w:rsidRPr="00D31AB1" w:rsidRDefault="00D31AB1" w:rsidP="00D31AB1">
            <w:pPr>
              <w:pStyle w:val="NoSpacing"/>
            </w:pPr>
            <w:r w:rsidRPr="00D31AB1">
              <w:t>939</w:t>
            </w:r>
          </w:p>
        </w:tc>
        <w:tc>
          <w:tcPr>
            <w:tcW w:w="1265" w:type="dxa"/>
            <w:shd w:val="clear" w:color="auto" w:fill="auto"/>
          </w:tcPr>
          <w:p w14:paraId="7346BD0D" w14:textId="77777777" w:rsidR="00D31AB1" w:rsidRPr="00D31AB1" w:rsidRDefault="00D31AB1" w:rsidP="00D31AB1">
            <w:pPr>
              <w:pStyle w:val="NoSpacing"/>
            </w:pPr>
            <w:r w:rsidRPr="00D31AB1">
              <w:t>0</w:t>
            </w:r>
          </w:p>
        </w:tc>
        <w:tc>
          <w:tcPr>
            <w:tcW w:w="1265" w:type="dxa"/>
            <w:shd w:val="clear" w:color="auto" w:fill="auto"/>
          </w:tcPr>
          <w:p w14:paraId="7BCF8272" w14:textId="77777777" w:rsidR="00D31AB1" w:rsidRPr="00D31AB1" w:rsidRDefault="00D31AB1" w:rsidP="00D31AB1">
            <w:pPr>
              <w:pStyle w:val="NoSpacing"/>
            </w:pPr>
            <w:r w:rsidRPr="00D31AB1">
              <w:t>1/2</w:t>
            </w:r>
          </w:p>
        </w:tc>
        <w:tc>
          <w:tcPr>
            <w:tcW w:w="1265" w:type="dxa"/>
            <w:shd w:val="clear" w:color="auto" w:fill="auto"/>
          </w:tcPr>
          <w:p w14:paraId="62CC50D0" w14:textId="77777777" w:rsidR="00D31AB1" w:rsidRPr="00D31AB1" w:rsidRDefault="00D31AB1" w:rsidP="00D31AB1">
            <w:pPr>
              <w:pStyle w:val="NoSpacing"/>
            </w:pPr>
            <w:r w:rsidRPr="00D31AB1">
              <w:t>1/2</w:t>
            </w:r>
          </w:p>
        </w:tc>
        <w:tc>
          <w:tcPr>
            <w:tcW w:w="1265" w:type="dxa"/>
            <w:shd w:val="clear" w:color="auto" w:fill="auto"/>
          </w:tcPr>
          <w:p w14:paraId="53453013" w14:textId="77777777" w:rsidR="00D31AB1" w:rsidRPr="00D31AB1" w:rsidRDefault="00D31AB1" w:rsidP="00D31AB1">
            <w:pPr>
              <w:pStyle w:val="NoSpacing"/>
            </w:pPr>
            <w:r w:rsidRPr="00D31AB1">
              <w:t>0</w:t>
            </w:r>
          </w:p>
        </w:tc>
        <w:tc>
          <w:tcPr>
            <w:tcW w:w="1266" w:type="dxa"/>
            <w:shd w:val="clear" w:color="auto" w:fill="auto"/>
          </w:tcPr>
          <w:p w14:paraId="2052340D" w14:textId="77777777" w:rsidR="00D31AB1" w:rsidRPr="00D31AB1" w:rsidRDefault="00D31AB1" w:rsidP="00D31AB1">
            <w:pPr>
              <w:pStyle w:val="NoSpacing"/>
            </w:pPr>
            <w:r w:rsidRPr="00D31AB1">
              <w:t>886s</w:t>
            </w:r>
          </w:p>
        </w:tc>
      </w:tr>
      <w:tr w:rsidR="00D31AB1" w:rsidRPr="00D31AB1" w14:paraId="393FF72E" w14:textId="77777777" w:rsidTr="00664D3E">
        <w:tc>
          <w:tcPr>
            <w:tcW w:w="1265" w:type="dxa"/>
            <w:shd w:val="clear" w:color="auto" w:fill="auto"/>
          </w:tcPr>
          <w:p w14:paraId="7D43A6CB" w14:textId="77777777" w:rsidR="00D31AB1" w:rsidRPr="00D31AB1" w:rsidRDefault="00D31AB1" w:rsidP="00D31AB1">
            <w:pPr>
              <w:pStyle w:val="NoSpacing"/>
              <w:rPr>
                <w:b/>
                <w:vertAlign w:val="superscript"/>
              </w:rPr>
            </w:pPr>
            <w:r w:rsidRPr="00D31AB1">
              <w:rPr>
                <w:b/>
              </w:rPr>
              <w:t>π</w:t>
            </w:r>
            <w:r w:rsidRPr="00D31AB1">
              <w:rPr>
                <w:b/>
                <w:vertAlign w:val="superscript"/>
              </w:rPr>
              <w:t>0</w:t>
            </w:r>
          </w:p>
        </w:tc>
        <w:tc>
          <w:tcPr>
            <w:tcW w:w="1265" w:type="dxa"/>
            <w:shd w:val="clear" w:color="auto" w:fill="auto"/>
          </w:tcPr>
          <w:p w14:paraId="2762B827" w14:textId="77777777" w:rsidR="00D31AB1" w:rsidRPr="00D31AB1" w:rsidRDefault="00D31AB1" w:rsidP="00D31AB1">
            <w:pPr>
              <w:pStyle w:val="NoSpacing"/>
            </w:pPr>
            <w:r w:rsidRPr="00D31AB1">
              <w:t>135</w:t>
            </w:r>
          </w:p>
        </w:tc>
        <w:tc>
          <w:tcPr>
            <w:tcW w:w="1265" w:type="dxa"/>
            <w:shd w:val="clear" w:color="auto" w:fill="auto"/>
          </w:tcPr>
          <w:p w14:paraId="113F7422" w14:textId="77777777" w:rsidR="00D31AB1" w:rsidRPr="00D31AB1" w:rsidRDefault="00D31AB1" w:rsidP="00D31AB1">
            <w:pPr>
              <w:pStyle w:val="NoSpacing"/>
            </w:pPr>
            <w:r w:rsidRPr="00D31AB1">
              <w:t>0</w:t>
            </w:r>
          </w:p>
        </w:tc>
        <w:tc>
          <w:tcPr>
            <w:tcW w:w="1265" w:type="dxa"/>
            <w:shd w:val="clear" w:color="auto" w:fill="auto"/>
          </w:tcPr>
          <w:p w14:paraId="4A56E629" w14:textId="77777777" w:rsidR="00D31AB1" w:rsidRPr="00D31AB1" w:rsidRDefault="00D31AB1" w:rsidP="00D31AB1">
            <w:pPr>
              <w:pStyle w:val="NoSpacing"/>
            </w:pPr>
            <w:r w:rsidRPr="00D31AB1">
              <w:t>0</w:t>
            </w:r>
          </w:p>
        </w:tc>
        <w:tc>
          <w:tcPr>
            <w:tcW w:w="1265" w:type="dxa"/>
            <w:shd w:val="clear" w:color="auto" w:fill="auto"/>
          </w:tcPr>
          <w:p w14:paraId="02C89A60" w14:textId="77777777" w:rsidR="00D31AB1" w:rsidRPr="00D31AB1" w:rsidRDefault="00D31AB1" w:rsidP="00D31AB1">
            <w:pPr>
              <w:pStyle w:val="NoSpacing"/>
            </w:pPr>
            <w:r w:rsidRPr="00D31AB1">
              <w:t>1</w:t>
            </w:r>
          </w:p>
        </w:tc>
        <w:tc>
          <w:tcPr>
            <w:tcW w:w="1265" w:type="dxa"/>
            <w:shd w:val="clear" w:color="auto" w:fill="auto"/>
          </w:tcPr>
          <w:p w14:paraId="64D7026E" w14:textId="77777777" w:rsidR="00D31AB1" w:rsidRPr="00D31AB1" w:rsidRDefault="00D31AB1" w:rsidP="00D31AB1">
            <w:pPr>
              <w:pStyle w:val="NoSpacing"/>
            </w:pPr>
            <w:r w:rsidRPr="00D31AB1">
              <w:t>0</w:t>
            </w:r>
          </w:p>
        </w:tc>
        <w:tc>
          <w:tcPr>
            <w:tcW w:w="1266" w:type="dxa"/>
            <w:shd w:val="clear" w:color="auto" w:fill="auto"/>
          </w:tcPr>
          <w:p w14:paraId="27852097" w14:textId="77777777" w:rsidR="00D31AB1" w:rsidRPr="00D31AB1" w:rsidRDefault="00D31AB1" w:rsidP="00D31AB1">
            <w:pPr>
              <w:pStyle w:val="NoSpacing"/>
            </w:pPr>
            <w:r w:rsidRPr="00D31AB1">
              <w:t>84 as.</w:t>
            </w:r>
          </w:p>
        </w:tc>
      </w:tr>
    </w:tbl>
    <w:p w14:paraId="65FA6DA2" w14:textId="77777777" w:rsidR="00D31AB1" w:rsidRPr="00D31AB1" w:rsidRDefault="00D31AB1" w:rsidP="00D31AB1">
      <w:pPr>
        <w:pStyle w:val="NoSpacing"/>
      </w:pPr>
    </w:p>
    <w:p w14:paraId="34691E75" w14:textId="77777777" w:rsidR="00D31AB1" w:rsidRPr="00D31AB1" w:rsidRDefault="00D31AB1" w:rsidP="00D31AB1">
      <w:pPr>
        <w:pStyle w:val="NoSpacing"/>
      </w:pPr>
      <w:r w:rsidRPr="00D31AB1">
        <w:t>As for the fundamental forces.  There is:</w:t>
      </w:r>
    </w:p>
    <w:p w14:paraId="3FC24233" w14:textId="77777777" w:rsidR="00D31AB1" w:rsidRPr="00D31AB1" w:rsidRDefault="00D31AB1" w:rsidP="00D31AB1">
      <w:pPr>
        <w:pStyle w:val="NoSpacing"/>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1771"/>
        <w:gridCol w:w="1543"/>
        <w:gridCol w:w="2357"/>
        <w:gridCol w:w="1772"/>
      </w:tblGrid>
      <w:tr w:rsidR="00D31AB1" w:rsidRPr="00D31AB1" w14:paraId="09A60C2D" w14:textId="77777777" w:rsidTr="00664D3E">
        <w:tc>
          <w:tcPr>
            <w:tcW w:w="1771" w:type="dxa"/>
            <w:shd w:val="clear" w:color="auto" w:fill="auto"/>
          </w:tcPr>
          <w:p w14:paraId="1A72743F" w14:textId="77777777" w:rsidR="00D31AB1" w:rsidRPr="00D31AB1" w:rsidRDefault="00D31AB1" w:rsidP="00D31AB1">
            <w:pPr>
              <w:pStyle w:val="NoSpacing"/>
              <w:rPr>
                <w:b/>
              </w:rPr>
            </w:pPr>
            <w:r w:rsidRPr="00D31AB1">
              <w:rPr>
                <w:b/>
              </w:rPr>
              <w:t>Force</w:t>
            </w:r>
          </w:p>
        </w:tc>
        <w:tc>
          <w:tcPr>
            <w:tcW w:w="1771" w:type="dxa"/>
            <w:shd w:val="clear" w:color="auto" w:fill="auto"/>
          </w:tcPr>
          <w:p w14:paraId="33E266EF" w14:textId="77777777" w:rsidR="00D31AB1" w:rsidRPr="00D31AB1" w:rsidRDefault="00D31AB1" w:rsidP="00D31AB1">
            <w:pPr>
              <w:pStyle w:val="NoSpacing"/>
              <w:rPr>
                <w:b/>
              </w:rPr>
            </w:pPr>
            <w:r w:rsidRPr="00D31AB1">
              <w:rPr>
                <w:b/>
              </w:rPr>
              <w:t>Acts between</w:t>
            </w:r>
          </w:p>
        </w:tc>
        <w:tc>
          <w:tcPr>
            <w:tcW w:w="1543" w:type="dxa"/>
            <w:shd w:val="clear" w:color="auto" w:fill="auto"/>
          </w:tcPr>
          <w:p w14:paraId="0F93B4B2" w14:textId="77777777" w:rsidR="00D31AB1" w:rsidRPr="00D31AB1" w:rsidRDefault="00D31AB1" w:rsidP="00D31AB1">
            <w:pPr>
              <w:pStyle w:val="NoSpacing"/>
              <w:rPr>
                <w:b/>
              </w:rPr>
            </w:pPr>
            <w:r w:rsidRPr="00D31AB1">
              <w:rPr>
                <w:b/>
              </w:rPr>
              <w:t>Mediated by</w:t>
            </w:r>
          </w:p>
        </w:tc>
        <w:tc>
          <w:tcPr>
            <w:tcW w:w="2357" w:type="dxa"/>
            <w:shd w:val="clear" w:color="auto" w:fill="auto"/>
          </w:tcPr>
          <w:p w14:paraId="3087CA49" w14:textId="77777777" w:rsidR="00D31AB1" w:rsidRPr="00D31AB1" w:rsidRDefault="00D31AB1" w:rsidP="00D31AB1">
            <w:pPr>
              <w:pStyle w:val="NoSpacing"/>
              <w:rPr>
                <w:b/>
              </w:rPr>
            </w:pPr>
            <w:r w:rsidRPr="00D31AB1">
              <w:rPr>
                <w:b/>
              </w:rPr>
              <w:t>Conserved quantity</w:t>
            </w:r>
          </w:p>
        </w:tc>
        <w:tc>
          <w:tcPr>
            <w:tcW w:w="1772" w:type="dxa"/>
            <w:shd w:val="clear" w:color="auto" w:fill="auto"/>
          </w:tcPr>
          <w:p w14:paraId="64682025" w14:textId="70C4055D" w:rsidR="00D31AB1" w:rsidRPr="00D31AB1" w:rsidRDefault="00D31AB1" w:rsidP="00D31AB1">
            <w:pPr>
              <w:pStyle w:val="NoSpacing"/>
              <w:rPr>
                <w:b/>
              </w:rPr>
            </w:pPr>
            <w:r w:rsidRPr="00D31AB1">
              <w:rPr>
                <w:b/>
              </w:rPr>
              <w:t>Range</w:t>
            </w:r>
            <w:r w:rsidR="00B131AD">
              <w:rPr>
                <w:b/>
              </w:rPr>
              <w:t xml:space="preserve"> (m)</w:t>
            </w:r>
          </w:p>
        </w:tc>
      </w:tr>
      <w:tr w:rsidR="00D31AB1" w:rsidRPr="00D31AB1" w14:paraId="5B311A7C" w14:textId="77777777" w:rsidTr="00664D3E">
        <w:tc>
          <w:tcPr>
            <w:tcW w:w="1771" w:type="dxa"/>
            <w:shd w:val="clear" w:color="auto" w:fill="auto"/>
          </w:tcPr>
          <w:p w14:paraId="422DE0EE" w14:textId="77777777" w:rsidR="00D31AB1" w:rsidRPr="00D31AB1" w:rsidRDefault="00D31AB1" w:rsidP="00D31AB1">
            <w:pPr>
              <w:pStyle w:val="NoSpacing"/>
            </w:pPr>
            <w:r w:rsidRPr="00D31AB1">
              <w:t>Strong</w:t>
            </w:r>
          </w:p>
        </w:tc>
        <w:tc>
          <w:tcPr>
            <w:tcW w:w="1771" w:type="dxa"/>
            <w:shd w:val="clear" w:color="auto" w:fill="auto"/>
          </w:tcPr>
          <w:p w14:paraId="751AE858" w14:textId="77777777" w:rsidR="00D31AB1" w:rsidRPr="00D31AB1" w:rsidRDefault="00D31AB1" w:rsidP="00D31AB1">
            <w:pPr>
              <w:pStyle w:val="NoSpacing"/>
            </w:pPr>
            <w:r w:rsidRPr="00D31AB1">
              <w:t>Hadrons</w:t>
            </w:r>
          </w:p>
        </w:tc>
        <w:tc>
          <w:tcPr>
            <w:tcW w:w="1543" w:type="dxa"/>
            <w:shd w:val="clear" w:color="auto" w:fill="auto"/>
          </w:tcPr>
          <w:p w14:paraId="245068AA" w14:textId="77777777" w:rsidR="00D31AB1" w:rsidRPr="00D31AB1" w:rsidRDefault="00D31AB1" w:rsidP="00D31AB1">
            <w:pPr>
              <w:pStyle w:val="NoSpacing"/>
            </w:pPr>
            <w:r w:rsidRPr="00D31AB1">
              <w:t>π (meson)</w:t>
            </w:r>
          </w:p>
        </w:tc>
        <w:tc>
          <w:tcPr>
            <w:tcW w:w="2357" w:type="dxa"/>
            <w:shd w:val="clear" w:color="auto" w:fill="auto"/>
          </w:tcPr>
          <w:p w14:paraId="3BCBFC6D" w14:textId="77777777" w:rsidR="00D31AB1" w:rsidRPr="00D31AB1" w:rsidRDefault="00D31AB1" w:rsidP="00D31AB1">
            <w:pPr>
              <w:pStyle w:val="NoSpacing"/>
            </w:pPr>
            <w:r w:rsidRPr="00D31AB1">
              <w:t>Baryon number</w:t>
            </w:r>
          </w:p>
        </w:tc>
        <w:tc>
          <w:tcPr>
            <w:tcW w:w="1772" w:type="dxa"/>
            <w:shd w:val="clear" w:color="auto" w:fill="auto"/>
          </w:tcPr>
          <w:p w14:paraId="1B9FC40E" w14:textId="2B0EA1AB" w:rsidR="00D31AB1" w:rsidRPr="00B131AD" w:rsidRDefault="00D31AB1" w:rsidP="00D31AB1">
            <w:pPr>
              <w:pStyle w:val="NoSpacing"/>
            </w:pPr>
            <w:r w:rsidRPr="00D31AB1">
              <w:t>10</w:t>
            </w:r>
            <w:r w:rsidRPr="00D31AB1">
              <w:rPr>
                <w:vertAlign w:val="superscript"/>
              </w:rPr>
              <w:t>-</w:t>
            </w:r>
            <w:r w:rsidR="00B131AD">
              <w:rPr>
                <w:vertAlign w:val="superscript"/>
              </w:rPr>
              <w:t>15</w:t>
            </w:r>
          </w:p>
        </w:tc>
      </w:tr>
      <w:tr w:rsidR="00D31AB1" w:rsidRPr="00D31AB1" w14:paraId="48ECCBC0" w14:textId="77777777" w:rsidTr="00664D3E">
        <w:tc>
          <w:tcPr>
            <w:tcW w:w="1771" w:type="dxa"/>
            <w:shd w:val="clear" w:color="auto" w:fill="auto"/>
          </w:tcPr>
          <w:p w14:paraId="05D1F93E" w14:textId="77777777" w:rsidR="00D31AB1" w:rsidRPr="00D31AB1" w:rsidRDefault="00D31AB1" w:rsidP="00D31AB1">
            <w:pPr>
              <w:pStyle w:val="NoSpacing"/>
            </w:pPr>
            <w:r w:rsidRPr="00D31AB1">
              <w:t xml:space="preserve">Weak </w:t>
            </w:r>
          </w:p>
        </w:tc>
        <w:tc>
          <w:tcPr>
            <w:tcW w:w="1771" w:type="dxa"/>
            <w:shd w:val="clear" w:color="auto" w:fill="auto"/>
          </w:tcPr>
          <w:p w14:paraId="63536C1B" w14:textId="77777777" w:rsidR="00D31AB1" w:rsidRPr="00D31AB1" w:rsidRDefault="00D31AB1" w:rsidP="00D31AB1">
            <w:pPr>
              <w:pStyle w:val="NoSpacing"/>
            </w:pPr>
            <w:r w:rsidRPr="00D31AB1">
              <w:t>Leptons</w:t>
            </w:r>
          </w:p>
        </w:tc>
        <w:tc>
          <w:tcPr>
            <w:tcW w:w="1543" w:type="dxa"/>
            <w:shd w:val="clear" w:color="auto" w:fill="auto"/>
          </w:tcPr>
          <w:p w14:paraId="12672493" w14:textId="77777777" w:rsidR="00D31AB1" w:rsidRPr="00D31AB1" w:rsidRDefault="00D31AB1" w:rsidP="00D31AB1">
            <w:pPr>
              <w:pStyle w:val="NoSpacing"/>
            </w:pPr>
            <w:r w:rsidRPr="00D31AB1">
              <w:t>W,Z (meson)</w:t>
            </w:r>
          </w:p>
        </w:tc>
        <w:tc>
          <w:tcPr>
            <w:tcW w:w="2357" w:type="dxa"/>
            <w:shd w:val="clear" w:color="auto" w:fill="auto"/>
          </w:tcPr>
          <w:p w14:paraId="19F2C9EF" w14:textId="77777777" w:rsidR="00D31AB1" w:rsidRPr="00D31AB1" w:rsidRDefault="00D31AB1" w:rsidP="00D31AB1">
            <w:pPr>
              <w:pStyle w:val="NoSpacing"/>
            </w:pPr>
            <w:r w:rsidRPr="00D31AB1">
              <w:t>lepton number</w:t>
            </w:r>
          </w:p>
        </w:tc>
        <w:tc>
          <w:tcPr>
            <w:tcW w:w="1772" w:type="dxa"/>
            <w:shd w:val="clear" w:color="auto" w:fill="auto"/>
          </w:tcPr>
          <w:p w14:paraId="1239A7F3" w14:textId="3DD25036" w:rsidR="00D31AB1" w:rsidRPr="00B131AD" w:rsidRDefault="00D31AB1" w:rsidP="00D31AB1">
            <w:pPr>
              <w:pStyle w:val="NoSpacing"/>
            </w:pPr>
            <w:r w:rsidRPr="00D31AB1">
              <w:t>10</w:t>
            </w:r>
            <w:r w:rsidRPr="00D31AB1">
              <w:rPr>
                <w:vertAlign w:val="superscript"/>
              </w:rPr>
              <w:t>-1</w:t>
            </w:r>
            <w:r w:rsidR="00B131AD">
              <w:rPr>
                <w:vertAlign w:val="superscript"/>
              </w:rPr>
              <w:t>8</w:t>
            </w:r>
          </w:p>
        </w:tc>
      </w:tr>
      <w:tr w:rsidR="00D31AB1" w:rsidRPr="00D31AB1" w14:paraId="01927947" w14:textId="77777777" w:rsidTr="00664D3E">
        <w:tc>
          <w:tcPr>
            <w:tcW w:w="1771" w:type="dxa"/>
            <w:shd w:val="clear" w:color="auto" w:fill="auto"/>
          </w:tcPr>
          <w:p w14:paraId="3F51609D" w14:textId="77777777" w:rsidR="00D31AB1" w:rsidRPr="00D31AB1" w:rsidRDefault="00D31AB1" w:rsidP="00D31AB1">
            <w:pPr>
              <w:pStyle w:val="NoSpacing"/>
            </w:pPr>
            <w:r w:rsidRPr="00D31AB1">
              <w:t>Electric</w:t>
            </w:r>
          </w:p>
        </w:tc>
        <w:tc>
          <w:tcPr>
            <w:tcW w:w="1771" w:type="dxa"/>
            <w:shd w:val="clear" w:color="auto" w:fill="auto"/>
          </w:tcPr>
          <w:p w14:paraId="2FF43509" w14:textId="77777777" w:rsidR="00D31AB1" w:rsidRPr="00D31AB1" w:rsidRDefault="00D31AB1" w:rsidP="00D31AB1">
            <w:pPr>
              <w:pStyle w:val="NoSpacing"/>
            </w:pPr>
            <w:r w:rsidRPr="00D31AB1">
              <w:t>Charges</w:t>
            </w:r>
          </w:p>
        </w:tc>
        <w:tc>
          <w:tcPr>
            <w:tcW w:w="1543" w:type="dxa"/>
            <w:shd w:val="clear" w:color="auto" w:fill="auto"/>
          </w:tcPr>
          <w:p w14:paraId="46A3777B" w14:textId="77777777" w:rsidR="00D31AB1" w:rsidRPr="00D31AB1" w:rsidRDefault="00D31AB1" w:rsidP="00D31AB1">
            <w:pPr>
              <w:pStyle w:val="NoSpacing"/>
            </w:pPr>
            <w:r w:rsidRPr="00D31AB1">
              <w:t>photon</w:t>
            </w:r>
          </w:p>
        </w:tc>
        <w:tc>
          <w:tcPr>
            <w:tcW w:w="2357" w:type="dxa"/>
            <w:shd w:val="clear" w:color="auto" w:fill="auto"/>
          </w:tcPr>
          <w:p w14:paraId="082B8207" w14:textId="77777777" w:rsidR="00D31AB1" w:rsidRPr="00D31AB1" w:rsidRDefault="00D31AB1" w:rsidP="00D31AB1">
            <w:pPr>
              <w:pStyle w:val="NoSpacing"/>
            </w:pPr>
            <w:r w:rsidRPr="00D31AB1">
              <w:t>charge</w:t>
            </w:r>
          </w:p>
        </w:tc>
        <w:tc>
          <w:tcPr>
            <w:tcW w:w="1772" w:type="dxa"/>
            <w:shd w:val="clear" w:color="auto" w:fill="auto"/>
          </w:tcPr>
          <w:p w14:paraId="0827FFF1" w14:textId="77777777" w:rsidR="00D31AB1" w:rsidRPr="00D31AB1" w:rsidRDefault="00D31AB1" w:rsidP="00D31AB1">
            <w:pPr>
              <w:pStyle w:val="NoSpacing"/>
            </w:pPr>
            <w:r w:rsidRPr="00D31AB1">
              <w:t>∞</w:t>
            </w:r>
          </w:p>
        </w:tc>
      </w:tr>
      <w:tr w:rsidR="00D31AB1" w:rsidRPr="00D31AB1" w14:paraId="53EA272B" w14:textId="77777777" w:rsidTr="00664D3E">
        <w:tc>
          <w:tcPr>
            <w:tcW w:w="1771" w:type="dxa"/>
            <w:shd w:val="clear" w:color="auto" w:fill="auto"/>
          </w:tcPr>
          <w:p w14:paraId="6B433929" w14:textId="77777777" w:rsidR="00D31AB1" w:rsidRPr="00D31AB1" w:rsidRDefault="00D31AB1" w:rsidP="00D31AB1">
            <w:pPr>
              <w:pStyle w:val="NoSpacing"/>
            </w:pPr>
            <w:r w:rsidRPr="00D31AB1">
              <w:t>Gravity</w:t>
            </w:r>
          </w:p>
        </w:tc>
        <w:tc>
          <w:tcPr>
            <w:tcW w:w="1771" w:type="dxa"/>
            <w:shd w:val="clear" w:color="auto" w:fill="auto"/>
          </w:tcPr>
          <w:p w14:paraId="0CF4C5B9" w14:textId="77777777" w:rsidR="00D31AB1" w:rsidRPr="00D31AB1" w:rsidRDefault="00D31AB1" w:rsidP="00D31AB1">
            <w:pPr>
              <w:pStyle w:val="NoSpacing"/>
            </w:pPr>
            <w:r w:rsidRPr="00D31AB1">
              <w:t>Masses</w:t>
            </w:r>
          </w:p>
        </w:tc>
        <w:tc>
          <w:tcPr>
            <w:tcW w:w="1543" w:type="dxa"/>
            <w:shd w:val="clear" w:color="auto" w:fill="auto"/>
          </w:tcPr>
          <w:p w14:paraId="2551F18C" w14:textId="77777777" w:rsidR="00D31AB1" w:rsidRPr="00D31AB1" w:rsidRDefault="00D31AB1" w:rsidP="00D31AB1">
            <w:pPr>
              <w:pStyle w:val="NoSpacing"/>
            </w:pPr>
            <w:r w:rsidRPr="00D31AB1">
              <w:t>graviton</w:t>
            </w:r>
          </w:p>
        </w:tc>
        <w:tc>
          <w:tcPr>
            <w:tcW w:w="2357" w:type="dxa"/>
            <w:shd w:val="clear" w:color="auto" w:fill="auto"/>
          </w:tcPr>
          <w:p w14:paraId="53AC4932" w14:textId="77777777" w:rsidR="00D31AB1" w:rsidRPr="00D31AB1" w:rsidRDefault="00D31AB1" w:rsidP="00D31AB1">
            <w:pPr>
              <w:pStyle w:val="NoSpacing"/>
            </w:pPr>
            <w:r w:rsidRPr="00D31AB1">
              <w:t>mass-energy</w:t>
            </w:r>
          </w:p>
        </w:tc>
        <w:tc>
          <w:tcPr>
            <w:tcW w:w="1772" w:type="dxa"/>
            <w:shd w:val="clear" w:color="auto" w:fill="auto"/>
          </w:tcPr>
          <w:p w14:paraId="1380EBFE" w14:textId="77777777" w:rsidR="00D31AB1" w:rsidRPr="00D31AB1" w:rsidRDefault="00D31AB1" w:rsidP="00D31AB1">
            <w:pPr>
              <w:pStyle w:val="NoSpacing"/>
            </w:pPr>
            <w:r w:rsidRPr="00D31AB1">
              <w:t>∞</w:t>
            </w:r>
          </w:p>
        </w:tc>
      </w:tr>
    </w:tbl>
    <w:p w14:paraId="58ED89CA" w14:textId="77777777" w:rsidR="00D31AB1" w:rsidRPr="00D31AB1" w:rsidRDefault="00D31AB1" w:rsidP="00D31AB1">
      <w:pPr>
        <w:pStyle w:val="NoSpacing"/>
      </w:pPr>
    </w:p>
    <w:p w14:paraId="2BCBFD2D" w14:textId="77777777" w:rsidR="00D31AB1" w:rsidRPr="00D31AB1" w:rsidRDefault="00D31AB1" w:rsidP="00D31AB1">
      <w:pPr>
        <w:pStyle w:val="NoSpacing"/>
      </w:pPr>
    </w:p>
    <w:p w14:paraId="584D59A0" w14:textId="10EA7542" w:rsidR="003D18C3" w:rsidRPr="00D31AB1" w:rsidRDefault="00D31AB1" w:rsidP="0047585E">
      <w:pPr>
        <w:pStyle w:val="NoSpacing"/>
        <w:numPr>
          <w:ilvl w:val="0"/>
          <w:numId w:val="1"/>
        </w:numPr>
      </w:pPr>
      <w:r w:rsidRPr="00D31AB1">
        <w:t xml:space="preserve">Strong force:  It is mediated by the π meson.  Note that the pion has a mass and this is what makes the strong force short ranged, </w:t>
      </w:r>
      <w:r w:rsidR="003D18C3">
        <w:t>and strongly</w:t>
      </w:r>
      <w:r w:rsidRPr="00D31AB1">
        <w:t xml:space="preserve"> exponentially damped</w:t>
      </w:r>
      <w:r w:rsidR="003D18C3">
        <w:t xml:space="preserve"> past about 1fm (this is why nuclei are around this size)</w:t>
      </w:r>
      <w:r w:rsidRPr="00D31AB1">
        <w:t>.  The strong force acts between hadrons, and as such (apparently?) this gives rise to the conservation of baryon number (a subset of hadrons).  This is why the number of nucleons is always conserved in a nuclear reaction (or any other for that matter).  Note how this is similar to conservation of charge by the electromagnetic force, and conservation of mass-energy in gravitational interactions.  So might say that each fundamental force as a conserved quantity.  The strong nuclear force saturates, which means that a given particle can only interact with a certain number of other particles simultaneously, not an infinite like the electric and gravitational forces.  Also it favors pairing of protons and neutrons with opposite spins, and especially pairs of pairs, the simplest of which would be a He nucleus.</w:t>
      </w:r>
    </w:p>
    <w:p w14:paraId="15879039" w14:textId="77777777" w:rsidR="00D31AB1" w:rsidRPr="00D31AB1" w:rsidRDefault="00D31AB1" w:rsidP="00D31AB1">
      <w:pPr>
        <w:pStyle w:val="NoSpacing"/>
        <w:numPr>
          <w:ilvl w:val="0"/>
          <w:numId w:val="1"/>
        </w:numPr>
      </w:pPr>
      <w:r w:rsidRPr="00D31AB1">
        <w:t>Weak force:  It is mediated by the W, Z particles (which are super massive ~ GeV).  And it seems to act between leptons roughly.  It is responsible for the decay of leptons like μ into an e</w:t>
      </w:r>
      <w:r w:rsidRPr="00D31AB1">
        <w:rPr>
          <w:vertAlign w:val="superscript"/>
        </w:rPr>
        <w:t>-</w:t>
      </w:r>
      <w:r w:rsidRPr="00D31AB1">
        <w:t xml:space="preserve"> and neutrino.  Its also involved in the decay of some mesons into leptons.  It is about 10</w:t>
      </w:r>
      <w:r w:rsidRPr="00D31AB1">
        <w:rPr>
          <w:vertAlign w:val="superscript"/>
        </w:rPr>
        <w:t>9</w:t>
      </w:r>
      <w:r w:rsidRPr="00D31AB1">
        <w:t xml:space="preserve"> weaker than the strong force.  The objects which exert this force, leptons, also obey a conservation law of lepton number (given in the first table).</w:t>
      </w:r>
    </w:p>
    <w:p w14:paraId="0CB48C3D" w14:textId="77777777" w:rsidR="00D31AB1" w:rsidRPr="00D31AB1" w:rsidRDefault="00D31AB1" w:rsidP="00D31AB1">
      <w:pPr>
        <w:pStyle w:val="NoSpacing"/>
        <w:numPr>
          <w:ilvl w:val="0"/>
          <w:numId w:val="1"/>
        </w:numPr>
      </w:pPr>
      <w:r w:rsidRPr="00D31AB1">
        <w:t>Electromagnetic force:  It is mediated by the photon.  Note the photon has no mass, and therefore the EM force is long ranged.  It is about 100 weaker than the strong force.  The objects which feel the EM force are charged objects, and charge is a conserved quantity.</w:t>
      </w:r>
    </w:p>
    <w:p w14:paraId="0574B61D" w14:textId="23E88A07" w:rsidR="00D31AB1" w:rsidRPr="00D31AB1" w:rsidRDefault="00D31AB1" w:rsidP="00D31AB1">
      <w:pPr>
        <w:pStyle w:val="NoSpacing"/>
        <w:numPr>
          <w:ilvl w:val="0"/>
          <w:numId w:val="1"/>
        </w:numPr>
      </w:pPr>
      <w:r w:rsidRPr="00D31AB1">
        <w:t>Gravitational force.  It is supposedly mediated by the massless graviton, and is long ranged, just like the electric force</w:t>
      </w:r>
      <w:r w:rsidR="009E4F6C">
        <w:t>.</w:t>
      </w:r>
      <w:r w:rsidRPr="00D31AB1">
        <w:t xml:space="preserve">  Note the conservation of mass law that we have – though this really turns into conservation of energy.  </w:t>
      </w:r>
    </w:p>
    <w:p w14:paraId="697B219E" w14:textId="77777777" w:rsidR="00D31AB1" w:rsidRPr="00D31AB1" w:rsidRDefault="00D31AB1" w:rsidP="00D31AB1">
      <w:pPr>
        <w:pStyle w:val="NoSpacing"/>
      </w:pPr>
    </w:p>
    <w:p w14:paraId="33C5953F" w14:textId="3DC21585" w:rsidR="00D31AB1" w:rsidRPr="00D31AB1" w:rsidRDefault="00D31AB1" w:rsidP="00D31AB1">
      <w:pPr>
        <w:pStyle w:val="NoSpacing"/>
      </w:pPr>
      <w:r w:rsidRPr="00D31AB1">
        <w:t>Note that the mass of the mediated particle is related to its range.  By analogy recall in solid state physics how a mass gap produces an effective force exponentially decaying with a radius ~ mass</w:t>
      </w:r>
      <w:r w:rsidRPr="00D31AB1">
        <w:rPr>
          <w:vertAlign w:val="superscript"/>
        </w:rPr>
        <w:t>-1</w:t>
      </w:r>
      <w:r w:rsidRPr="00D31AB1">
        <w:t>.  Massless excitations produce effective force of 1/r</w:t>
      </w:r>
      <w:r w:rsidRPr="00D31AB1">
        <w:rPr>
          <w:vertAlign w:val="superscript"/>
        </w:rPr>
        <w:t>2</w:t>
      </w:r>
      <w:r w:rsidRPr="00D31AB1">
        <w:t xml:space="preserve"> range (infinite radius).  This is just like in fundamental physics.  The graviton and photon are massless, resulting in an infinite effective range.  Consider the nuclear force.  If it exchanges a particle of mass m, then energy conservation will be violated by an amount ΔE = mc</w:t>
      </w:r>
      <w:r w:rsidRPr="00D31AB1">
        <w:rPr>
          <w:vertAlign w:val="superscript"/>
        </w:rPr>
        <w:t>2</w:t>
      </w:r>
      <w:r w:rsidRPr="00D31AB1">
        <w:t xml:space="preserve">.  This can happen only for a time, </w:t>
      </w:r>
      <w:r>
        <w:rPr>
          <w:rFonts w:ascii="Calibri" w:hAnsi="Calibri" w:cs="Calibri"/>
        </w:rPr>
        <w:t>Δ</w:t>
      </w:r>
      <w:r>
        <w:t xml:space="preserve">t ~ </w:t>
      </w:r>
      <w:r>
        <w:rPr>
          <w:rFonts w:ascii="Cambria Math" w:hAnsi="Cambria Math"/>
        </w:rPr>
        <w:t>ℏ</w:t>
      </w:r>
      <w:r>
        <w:t>/</w:t>
      </w:r>
      <w:r>
        <w:rPr>
          <w:rFonts w:ascii="Calibri" w:hAnsi="Calibri" w:cs="Calibri"/>
        </w:rPr>
        <w:t>Δ</w:t>
      </w:r>
      <w:r>
        <w:t>E</w:t>
      </w:r>
      <w:r w:rsidRPr="00D31AB1">
        <w:t xml:space="preserve">, and the furthest such a particle could go in this time is: </w:t>
      </w:r>
      <w:r>
        <w:t>R = c</w:t>
      </w:r>
      <w:r>
        <w:rPr>
          <w:rFonts w:ascii="Calibri" w:hAnsi="Calibri" w:cs="Calibri"/>
        </w:rPr>
        <w:t>Δ</w:t>
      </w:r>
      <w:r>
        <w:t xml:space="preserve">t = </w:t>
      </w:r>
      <w:r>
        <w:rPr>
          <w:rFonts w:ascii="Cambria Math" w:hAnsi="Cambria Math"/>
        </w:rPr>
        <w:t>ℏ</w:t>
      </w:r>
      <w:r>
        <w:t>c/mc</w:t>
      </w:r>
      <w:r>
        <w:rPr>
          <w:vertAlign w:val="superscript"/>
        </w:rPr>
        <w:t>2</w:t>
      </w:r>
      <w:r>
        <w:t xml:space="preserve"> = </w:t>
      </w:r>
      <w:r>
        <w:rPr>
          <w:rFonts w:ascii="Cambria Math" w:hAnsi="Cambria Math"/>
        </w:rPr>
        <w:t>ℏ</w:t>
      </w:r>
      <w:r>
        <w:t>/mc</w:t>
      </w:r>
      <w:r w:rsidRPr="00D31AB1">
        <w:t xml:space="preserve">.  Thus the range of the force is limited by the mass of its mediator.  This is why short range forces mediate large mass particles.  </w:t>
      </w:r>
    </w:p>
    <w:p w14:paraId="3DFB6C7A" w14:textId="77777777" w:rsidR="00D31AB1" w:rsidRPr="00D31AB1" w:rsidRDefault="00D31AB1" w:rsidP="00D31AB1">
      <w:pPr>
        <w:pStyle w:val="NoSpacing"/>
      </w:pPr>
    </w:p>
    <w:p w14:paraId="717D4EF2" w14:textId="77777777" w:rsidR="00D31AB1" w:rsidRPr="00D31AB1" w:rsidRDefault="00D31AB1" w:rsidP="00D31AB1">
      <w:pPr>
        <w:pStyle w:val="NoSpacing"/>
        <w:rPr>
          <w:b/>
          <w:sz w:val="24"/>
        </w:rPr>
      </w:pPr>
      <w:r w:rsidRPr="00D31AB1">
        <w:rPr>
          <w:b/>
          <w:sz w:val="24"/>
        </w:rPr>
        <w:t>Simplification of hadron structure</w:t>
      </w:r>
    </w:p>
    <w:p w14:paraId="6F4A96D1" w14:textId="21EF6F0F" w:rsidR="00D31AB1" w:rsidRPr="00D31AB1" w:rsidRDefault="00D31AB1" w:rsidP="00D31AB1">
      <w:pPr>
        <w:pStyle w:val="NoSpacing"/>
      </w:pPr>
      <w:r w:rsidRPr="00D31AB1">
        <w:t xml:space="preserve">Hadrons can be reduced to combinations of </w:t>
      </w:r>
      <w:r w:rsidR="000278F1">
        <w:t xml:space="preserve">some of the </w:t>
      </w:r>
      <w:r w:rsidRPr="00D31AB1">
        <w:t>6 quarks.  Particularly, mesons consist of a quark/anti-quark pair, and baryons of 3 quarks.  This could be inferred on the basis of their spin properties alone.  The quarks are given below,</w:t>
      </w:r>
    </w:p>
    <w:p w14:paraId="1B88C857" w14:textId="77777777" w:rsidR="00D31AB1" w:rsidRPr="00D31AB1" w:rsidRDefault="00D31AB1" w:rsidP="00D31AB1">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106"/>
        <w:gridCol w:w="1107"/>
        <w:gridCol w:w="1107"/>
        <w:gridCol w:w="1305"/>
        <w:gridCol w:w="1107"/>
        <w:gridCol w:w="1307"/>
        <w:gridCol w:w="1108"/>
      </w:tblGrid>
      <w:tr w:rsidR="00D31AB1" w:rsidRPr="00D31AB1" w14:paraId="45BC6125" w14:textId="77777777" w:rsidTr="00664D3E">
        <w:tc>
          <w:tcPr>
            <w:tcW w:w="1106" w:type="dxa"/>
            <w:shd w:val="clear" w:color="auto" w:fill="auto"/>
          </w:tcPr>
          <w:p w14:paraId="697A612F" w14:textId="77777777" w:rsidR="00D31AB1" w:rsidRPr="00D31AB1" w:rsidRDefault="00D31AB1" w:rsidP="00D31AB1">
            <w:pPr>
              <w:pStyle w:val="NoSpacing"/>
              <w:rPr>
                <w:b/>
              </w:rPr>
            </w:pPr>
            <w:r w:rsidRPr="00D31AB1">
              <w:rPr>
                <w:b/>
              </w:rPr>
              <w:t>Particle</w:t>
            </w:r>
          </w:p>
        </w:tc>
        <w:tc>
          <w:tcPr>
            <w:tcW w:w="1106" w:type="dxa"/>
            <w:shd w:val="clear" w:color="auto" w:fill="auto"/>
          </w:tcPr>
          <w:p w14:paraId="16EF2F07" w14:textId="77777777" w:rsidR="00D31AB1" w:rsidRPr="00D31AB1" w:rsidRDefault="00D31AB1" w:rsidP="00D31AB1">
            <w:pPr>
              <w:pStyle w:val="NoSpacing"/>
              <w:rPr>
                <w:b/>
              </w:rPr>
            </w:pPr>
            <w:r w:rsidRPr="00D31AB1">
              <w:rPr>
                <w:b/>
              </w:rPr>
              <w:t>q/e</w:t>
            </w:r>
          </w:p>
        </w:tc>
        <w:tc>
          <w:tcPr>
            <w:tcW w:w="1107" w:type="dxa"/>
            <w:shd w:val="clear" w:color="auto" w:fill="auto"/>
          </w:tcPr>
          <w:p w14:paraId="70EBE90C" w14:textId="77777777" w:rsidR="00D31AB1" w:rsidRPr="00D31AB1" w:rsidRDefault="00D31AB1" w:rsidP="00D31AB1">
            <w:pPr>
              <w:pStyle w:val="NoSpacing"/>
              <w:rPr>
                <w:b/>
              </w:rPr>
            </w:pPr>
            <w:r w:rsidRPr="00D31AB1">
              <w:rPr>
                <w:b/>
              </w:rPr>
              <w:t>spin</w:t>
            </w:r>
          </w:p>
        </w:tc>
        <w:tc>
          <w:tcPr>
            <w:tcW w:w="1107" w:type="dxa"/>
            <w:shd w:val="clear" w:color="auto" w:fill="auto"/>
          </w:tcPr>
          <w:p w14:paraId="25585278" w14:textId="77777777" w:rsidR="00D31AB1" w:rsidRPr="00D31AB1" w:rsidRDefault="00D31AB1" w:rsidP="00D31AB1">
            <w:pPr>
              <w:pStyle w:val="NoSpacing"/>
              <w:rPr>
                <w:b/>
              </w:rPr>
            </w:pPr>
            <w:r w:rsidRPr="00D31AB1">
              <w:rPr>
                <w:b/>
              </w:rPr>
              <w:t>baryon #</w:t>
            </w:r>
          </w:p>
        </w:tc>
        <w:tc>
          <w:tcPr>
            <w:tcW w:w="1107" w:type="dxa"/>
            <w:shd w:val="clear" w:color="auto" w:fill="auto"/>
          </w:tcPr>
          <w:p w14:paraId="486088A8" w14:textId="77777777" w:rsidR="00D31AB1" w:rsidRPr="00D31AB1" w:rsidRDefault="00D31AB1" w:rsidP="00D31AB1">
            <w:pPr>
              <w:pStyle w:val="NoSpacing"/>
              <w:rPr>
                <w:b/>
              </w:rPr>
            </w:pPr>
            <w:r w:rsidRPr="00D31AB1">
              <w:rPr>
                <w:b/>
              </w:rPr>
              <w:t>strangeness</w:t>
            </w:r>
          </w:p>
        </w:tc>
        <w:tc>
          <w:tcPr>
            <w:tcW w:w="1107" w:type="dxa"/>
            <w:shd w:val="clear" w:color="auto" w:fill="auto"/>
          </w:tcPr>
          <w:p w14:paraId="3A675E50" w14:textId="77777777" w:rsidR="00D31AB1" w:rsidRPr="00D31AB1" w:rsidRDefault="00D31AB1" w:rsidP="00D31AB1">
            <w:pPr>
              <w:pStyle w:val="NoSpacing"/>
              <w:rPr>
                <w:b/>
              </w:rPr>
            </w:pPr>
            <w:r w:rsidRPr="00D31AB1">
              <w:rPr>
                <w:b/>
              </w:rPr>
              <w:t>charm</w:t>
            </w:r>
          </w:p>
        </w:tc>
        <w:tc>
          <w:tcPr>
            <w:tcW w:w="1108" w:type="dxa"/>
            <w:shd w:val="clear" w:color="auto" w:fill="auto"/>
          </w:tcPr>
          <w:p w14:paraId="2A99EF44" w14:textId="77777777" w:rsidR="00D31AB1" w:rsidRPr="00D31AB1" w:rsidRDefault="00D31AB1" w:rsidP="00D31AB1">
            <w:pPr>
              <w:pStyle w:val="NoSpacing"/>
              <w:rPr>
                <w:b/>
              </w:rPr>
            </w:pPr>
            <w:r w:rsidRPr="00D31AB1">
              <w:rPr>
                <w:b/>
              </w:rPr>
              <w:t>bottomness</w:t>
            </w:r>
          </w:p>
        </w:tc>
        <w:tc>
          <w:tcPr>
            <w:tcW w:w="1108" w:type="dxa"/>
            <w:shd w:val="clear" w:color="auto" w:fill="auto"/>
          </w:tcPr>
          <w:p w14:paraId="6E7CD320" w14:textId="77777777" w:rsidR="00D31AB1" w:rsidRPr="00D31AB1" w:rsidRDefault="00D31AB1" w:rsidP="00D31AB1">
            <w:pPr>
              <w:pStyle w:val="NoSpacing"/>
              <w:rPr>
                <w:b/>
              </w:rPr>
            </w:pPr>
            <w:r w:rsidRPr="00D31AB1">
              <w:rPr>
                <w:b/>
              </w:rPr>
              <w:t>topness</w:t>
            </w:r>
          </w:p>
        </w:tc>
      </w:tr>
      <w:tr w:rsidR="00D31AB1" w:rsidRPr="00D31AB1" w14:paraId="5CBB7CE3" w14:textId="77777777" w:rsidTr="00664D3E">
        <w:tc>
          <w:tcPr>
            <w:tcW w:w="1106" w:type="dxa"/>
            <w:shd w:val="clear" w:color="auto" w:fill="auto"/>
          </w:tcPr>
          <w:p w14:paraId="66E79F48" w14:textId="77777777" w:rsidR="00D31AB1" w:rsidRPr="00D31AB1" w:rsidRDefault="00D31AB1" w:rsidP="00D31AB1">
            <w:pPr>
              <w:pStyle w:val="NoSpacing"/>
              <w:rPr>
                <w:b/>
              </w:rPr>
            </w:pPr>
            <w:r w:rsidRPr="00D31AB1">
              <w:rPr>
                <w:b/>
              </w:rPr>
              <w:t>u</w:t>
            </w:r>
          </w:p>
        </w:tc>
        <w:tc>
          <w:tcPr>
            <w:tcW w:w="1106" w:type="dxa"/>
            <w:shd w:val="clear" w:color="auto" w:fill="auto"/>
          </w:tcPr>
          <w:p w14:paraId="5ED67B00" w14:textId="77777777" w:rsidR="00D31AB1" w:rsidRPr="00D31AB1" w:rsidRDefault="00D31AB1" w:rsidP="00D31AB1">
            <w:pPr>
              <w:pStyle w:val="NoSpacing"/>
            </w:pPr>
            <w:r w:rsidRPr="00D31AB1">
              <w:t>2/3</w:t>
            </w:r>
          </w:p>
        </w:tc>
        <w:tc>
          <w:tcPr>
            <w:tcW w:w="1107" w:type="dxa"/>
            <w:shd w:val="clear" w:color="auto" w:fill="auto"/>
          </w:tcPr>
          <w:p w14:paraId="653993C7" w14:textId="77777777" w:rsidR="00D31AB1" w:rsidRPr="00D31AB1" w:rsidRDefault="00D31AB1" w:rsidP="00D31AB1">
            <w:pPr>
              <w:pStyle w:val="NoSpacing"/>
            </w:pPr>
            <w:r w:rsidRPr="00D31AB1">
              <w:t>½</w:t>
            </w:r>
          </w:p>
        </w:tc>
        <w:tc>
          <w:tcPr>
            <w:tcW w:w="1107" w:type="dxa"/>
            <w:shd w:val="clear" w:color="auto" w:fill="auto"/>
          </w:tcPr>
          <w:p w14:paraId="6CE71EE5" w14:textId="77777777" w:rsidR="00D31AB1" w:rsidRPr="00D31AB1" w:rsidRDefault="00D31AB1" w:rsidP="00D31AB1">
            <w:pPr>
              <w:pStyle w:val="NoSpacing"/>
            </w:pPr>
            <w:r w:rsidRPr="00D31AB1">
              <w:t>1/3</w:t>
            </w:r>
          </w:p>
        </w:tc>
        <w:tc>
          <w:tcPr>
            <w:tcW w:w="1107" w:type="dxa"/>
            <w:shd w:val="clear" w:color="auto" w:fill="auto"/>
          </w:tcPr>
          <w:p w14:paraId="79991CB7" w14:textId="77777777" w:rsidR="00D31AB1" w:rsidRPr="00D31AB1" w:rsidRDefault="00D31AB1" w:rsidP="00D31AB1">
            <w:pPr>
              <w:pStyle w:val="NoSpacing"/>
            </w:pPr>
            <w:r w:rsidRPr="00D31AB1">
              <w:t>0</w:t>
            </w:r>
          </w:p>
        </w:tc>
        <w:tc>
          <w:tcPr>
            <w:tcW w:w="1107" w:type="dxa"/>
            <w:shd w:val="clear" w:color="auto" w:fill="auto"/>
          </w:tcPr>
          <w:p w14:paraId="01EF9D7B" w14:textId="77777777" w:rsidR="00D31AB1" w:rsidRPr="00D31AB1" w:rsidRDefault="00D31AB1" w:rsidP="00D31AB1">
            <w:pPr>
              <w:pStyle w:val="NoSpacing"/>
            </w:pPr>
            <w:r w:rsidRPr="00D31AB1">
              <w:t>0</w:t>
            </w:r>
          </w:p>
        </w:tc>
        <w:tc>
          <w:tcPr>
            <w:tcW w:w="1108" w:type="dxa"/>
            <w:shd w:val="clear" w:color="auto" w:fill="auto"/>
          </w:tcPr>
          <w:p w14:paraId="60793B0B" w14:textId="77777777" w:rsidR="00D31AB1" w:rsidRPr="00D31AB1" w:rsidRDefault="00D31AB1" w:rsidP="00D31AB1">
            <w:pPr>
              <w:pStyle w:val="NoSpacing"/>
            </w:pPr>
            <w:r w:rsidRPr="00D31AB1">
              <w:t>0</w:t>
            </w:r>
          </w:p>
        </w:tc>
        <w:tc>
          <w:tcPr>
            <w:tcW w:w="1108" w:type="dxa"/>
            <w:shd w:val="clear" w:color="auto" w:fill="auto"/>
          </w:tcPr>
          <w:p w14:paraId="25DAFA27" w14:textId="77777777" w:rsidR="00D31AB1" w:rsidRPr="00D31AB1" w:rsidRDefault="00D31AB1" w:rsidP="00D31AB1">
            <w:pPr>
              <w:pStyle w:val="NoSpacing"/>
            </w:pPr>
            <w:r w:rsidRPr="00D31AB1">
              <w:t>0</w:t>
            </w:r>
          </w:p>
        </w:tc>
      </w:tr>
      <w:tr w:rsidR="00D31AB1" w:rsidRPr="00D31AB1" w14:paraId="5B8514EC" w14:textId="77777777" w:rsidTr="00664D3E">
        <w:tc>
          <w:tcPr>
            <w:tcW w:w="1106" w:type="dxa"/>
            <w:shd w:val="clear" w:color="auto" w:fill="auto"/>
          </w:tcPr>
          <w:p w14:paraId="1FB2FEB0" w14:textId="77777777" w:rsidR="00D31AB1" w:rsidRPr="00D31AB1" w:rsidRDefault="00D31AB1" w:rsidP="00D31AB1">
            <w:pPr>
              <w:pStyle w:val="NoSpacing"/>
              <w:rPr>
                <w:b/>
              </w:rPr>
            </w:pPr>
            <w:r w:rsidRPr="00D31AB1">
              <w:rPr>
                <w:b/>
              </w:rPr>
              <w:t>d</w:t>
            </w:r>
          </w:p>
        </w:tc>
        <w:tc>
          <w:tcPr>
            <w:tcW w:w="1106" w:type="dxa"/>
            <w:shd w:val="clear" w:color="auto" w:fill="auto"/>
          </w:tcPr>
          <w:p w14:paraId="30E160D5" w14:textId="77777777" w:rsidR="00D31AB1" w:rsidRPr="00D31AB1" w:rsidRDefault="00D31AB1" w:rsidP="00D31AB1">
            <w:pPr>
              <w:pStyle w:val="NoSpacing"/>
            </w:pPr>
            <w:r w:rsidRPr="00D31AB1">
              <w:t>-1/3</w:t>
            </w:r>
          </w:p>
        </w:tc>
        <w:tc>
          <w:tcPr>
            <w:tcW w:w="1107" w:type="dxa"/>
            <w:shd w:val="clear" w:color="auto" w:fill="auto"/>
          </w:tcPr>
          <w:p w14:paraId="514C9C60" w14:textId="77777777" w:rsidR="00D31AB1" w:rsidRPr="00D31AB1" w:rsidRDefault="00D31AB1" w:rsidP="00D31AB1">
            <w:pPr>
              <w:pStyle w:val="NoSpacing"/>
            </w:pPr>
            <w:r w:rsidRPr="00D31AB1">
              <w:t>½</w:t>
            </w:r>
          </w:p>
        </w:tc>
        <w:tc>
          <w:tcPr>
            <w:tcW w:w="1107" w:type="dxa"/>
            <w:shd w:val="clear" w:color="auto" w:fill="auto"/>
          </w:tcPr>
          <w:p w14:paraId="0317F648" w14:textId="77777777" w:rsidR="00D31AB1" w:rsidRPr="00D31AB1" w:rsidRDefault="00D31AB1" w:rsidP="00D31AB1">
            <w:pPr>
              <w:pStyle w:val="NoSpacing"/>
            </w:pPr>
            <w:r w:rsidRPr="00D31AB1">
              <w:t>1/3</w:t>
            </w:r>
          </w:p>
        </w:tc>
        <w:tc>
          <w:tcPr>
            <w:tcW w:w="1107" w:type="dxa"/>
            <w:shd w:val="clear" w:color="auto" w:fill="auto"/>
          </w:tcPr>
          <w:p w14:paraId="494FCEBE" w14:textId="77777777" w:rsidR="00D31AB1" w:rsidRPr="00D31AB1" w:rsidRDefault="00D31AB1" w:rsidP="00D31AB1">
            <w:pPr>
              <w:pStyle w:val="NoSpacing"/>
            </w:pPr>
            <w:r w:rsidRPr="00D31AB1">
              <w:t>0</w:t>
            </w:r>
          </w:p>
        </w:tc>
        <w:tc>
          <w:tcPr>
            <w:tcW w:w="1107" w:type="dxa"/>
            <w:shd w:val="clear" w:color="auto" w:fill="auto"/>
          </w:tcPr>
          <w:p w14:paraId="15BB3DC6" w14:textId="77777777" w:rsidR="00D31AB1" w:rsidRPr="00D31AB1" w:rsidRDefault="00D31AB1" w:rsidP="00D31AB1">
            <w:pPr>
              <w:pStyle w:val="NoSpacing"/>
            </w:pPr>
            <w:r w:rsidRPr="00D31AB1">
              <w:t>0</w:t>
            </w:r>
          </w:p>
        </w:tc>
        <w:tc>
          <w:tcPr>
            <w:tcW w:w="1108" w:type="dxa"/>
            <w:shd w:val="clear" w:color="auto" w:fill="auto"/>
          </w:tcPr>
          <w:p w14:paraId="4B3D8AE1" w14:textId="77777777" w:rsidR="00D31AB1" w:rsidRPr="00D31AB1" w:rsidRDefault="00D31AB1" w:rsidP="00D31AB1">
            <w:pPr>
              <w:pStyle w:val="NoSpacing"/>
            </w:pPr>
            <w:r w:rsidRPr="00D31AB1">
              <w:t>0</w:t>
            </w:r>
          </w:p>
        </w:tc>
        <w:tc>
          <w:tcPr>
            <w:tcW w:w="1108" w:type="dxa"/>
            <w:shd w:val="clear" w:color="auto" w:fill="auto"/>
          </w:tcPr>
          <w:p w14:paraId="1305AB30" w14:textId="77777777" w:rsidR="00D31AB1" w:rsidRPr="00D31AB1" w:rsidRDefault="00D31AB1" w:rsidP="00D31AB1">
            <w:pPr>
              <w:pStyle w:val="NoSpacing"/>
            </w:pPr>
            <w:r w:rsidRPr="00D31AB1">
              <w:t>0</w:t>
            </w:r>
          </w:p>
        </w:tc>
      </w:tr>
      <w:tr w:rsidR="00D31AB1" w:rsidRPr="00D31AB1" w14:paraId="58D87DDA" w14:textId="77777777" w:rsidTr="00664D3E">
        <w:tc>
          <w:tcPr>
            <w:tcW w:w="1106" w:type="dxa"/>
            <w:shd w:val="clear" w:color="auto" w:fill="auto"/>
          </w:tcPr>
          <w:p w14:paraId="1B807C53" w14:textId="77777777" w:rsidR="00D31AB1" w:rsidRPr="00D31AB1" w:rsidRDefault="00D31AB1" w:rsidP="00D31AB1">
            <w:pPr>
              <w:pStyle w:val="NoSpacing"/>
              <w:rPr>
                <w:b/>
              </w:rPr>
            </w:pPr>
            <w:r w:rsidRPr="00D31AB1">
              <w:rPr>
                <w:b/>
              </w:rPr>
              <w:t>s</w:t>
            </w:r>
          </w:p>
        </w:tc>
        <w:tc>
          <w:tcPr>
            <w:tcW w:w="1106" w:type="dxa"/>
            <w:shd w:val="clear" w:color="auto" w:fill="auto"/>
          </w:tcPr>
          <w:p w14:paraId="2B2E46C8" w14:textId="77777777" w:rsidR="00D31AB1" w:rsidRPr="00D31AB1" w:rsidRDefault="00D31AB1" w:rsidP="00D31AB1">
            <w:pPr>
              <w:pStyle w:val="NoSpacing"/>
            </w:pPr>
            <w:r w:rsidRPr="00D31AB1">
              <w:t>-1/3</w:t>
            </w:r>
          </w:p>
        </w:tc>
        <w:tc>
          <w:tcPr>
            <w:tcW w:w="1107" w:type="dxa"/>
            <w:shd w:val="clear" w:color="auto" w:fill="auto"/>
          </w:tcPr>
          <w:p w14:paraId="295E3D33" w14:textId="77777777" w:rsidR="00D31AB1" w:rsidRPr="00D31AB1" w:rsidRDefault="00D31AB1" w:rsidP="00D31AB1">
            <w:pPr>
              <w:pStyle w:val="NoSpacing"/>
            </w:pPr>
            <w:r w:rsidRPr="00D31AB1">
              <w:t>½</w:t>
            </w:r>
          </w:p>
        </w:tc>
        <w:tc>
          <w:tcPr>
            <w:tcW w:w="1107" w:type="dxa"/>
            <w:shd w:val="clear" w:color="auto" w:fill="auto"/>
          </w:tcPr>
          <w:p w14:paraId="1F5E9F80" w14:textId="77777777" w:rsidR="00D31AB1" w:rsidRPr="00D31AB1" w:rsidRDefault="00D31AB1" w:rsidP="00D31AB1">
            <w:pPr>
              <w:pStyle w:val="NoSpacing"/>
            </w:pPr>
            <w:r w:rsidRPr="00D31AB1">
              <w:t>1/3</w:t>
            </w:r>
          </w:p>
        </w:tc>
        <w:tc>
          <w:tcPr>
            <w:tcW w:w="1107" w:type="dxa"/>
            <w:shd w:val="clear" w:color="auto" w:fill="auto"/>
          </w:tcPr>
          <w:p w14:paraId="0C19C067" w14:textId="77777777" w:rsidR="00D31AB1" w:rsidRPr="00D31AB1" w:rsidRDefault="00D31AB1" w:rsidP="00D31AB1">
            <w:pPr>
              <w:pStyle w:val="NoSpacing"/>
            </w:pPr>
            <w:r w:rsidRPr="00D31AB1">
              <w:t>-1</w:t>
            </w:r>
          </w:p>
        </w:tc>
        <w:tc>
          <w:tcPr>
            <w:tcW w:w="1107" w:type="dxa"/>
            <w:shd w:val="clear" w:color="auto" w:fill="auto"/>
          </w:tcPr>
          <w:p w14:paraId="52F6ED28" w14:textId="77777777" w:rsidR="00D31AB1" w:rsidRPr="00D31AB1" w:rsidRDefault="00D31AB1" w:rsidP="00D31AB1">
            <w:pPr>
              <w:pStyle w:val="NoSpacing"/>
            </w:pPr>
            <w:r w:rsidRPr="00D31AB1">
              <w:t>0</w:t>
            </w:r>
          </w:p>
        </w:tc>
        <w:tc>
          <w:tcPr>
            <w:tcW w:w="1108" w:type="dxa"/>
            <w:shd w:val="clear" w:color="auto" w:fill="auto"/>
          </w:tcPr>
          <w:p w14:paraId="65F50B25" w14:textId="77777777" w:rsidR="00D31AB1" w:rsidRPr="00D31AB1" w:rsidRDefault="00D31AB1" w:rsidP="00D31AB1">
            <w:pPr>
              <w:pStyle w:val="NoSpacing"/>
            </w:pPr>
            <w:r w:rsidRPr="00D31AB1">
              <w:t>0</w:t>
            </w:r>
          </w:p>
        </w:tc>
        <w:tc>
          <w:tcPr>
            <w:tcW w:w="1108" w:type="dxa"/>
            <w:shd w:val="clear" w:color="auto" w:fill="auto"/>
          </w:tcPr>
          <w:p w14:paraId="04B96EB3" w14:textId="77777777" w:rsidR="00D31AB1" w:rsidRPr="00D31AB1" w:rsidRDefault="00D31AB1" w:rsidP="00D31AB1">
            <w:pPr>
              <w:pStyle w:val="NoSpacing"/>
            </w:pPr>
            <w:r w:rsidRPr="00D31AB1">
              <w:t>0</w:t>
            </w:r>
          </w:p>
        </w:tc>
      </w:tr>
      <w:tr w:rsidR="00D31AB1" w:rsidRPr="00D31AB1" w14:paraId="127F1839" w14:textId="77777777" w:rsidTr="00664D3E">
        <w:tc>
          <w:tcPr>
            <w:tcW w:w="1106" w:type="dxa"/>
            <w:shd w:val="clear" w:color="auto" w:fill="auto"/>
          </w:tcPr>
          <w:p w14:paraId="0460F036" w14:textId="77777777" w:rsidR="00D31AB1" w:rsidRPr="00D31AB1" w:rsidRDefault="00D31AB1" w:rsidP="00D31AB1">
            <w:pPr>
              <w:pStyle w:val="NoSpacing"/>
              <w:rPr>
                <w:b/>
              </w:rPr>
            </w:pPr>
            <w:r w:rsidRPr="00D31AB1">
              <w:rPr>
                <w:b/>
              </w:rPr>
              <w:t>c</w:t>
            </w:r>
          </w:p>
        </w:tc>
        <w:tc>
          <w:tcPr>
            <w:tcW w:w="1106" w:type="dxa"/>
            <w:shd w:val="clear" w:color="auto" w:fill="auto"/>
          </w:tcPr>
          <w:p w14:paraId="15EBFD32" w14:textId="77777777" w:rsidR="00D31AB1" w:rsidRPr="00D31AB1" w:rsidRDefault="00D31AB1" w:rsidP="00D31AB1">
            <w:pPr>
              <w:pStyle w:val="NoSpacing"/>
            </w:pPr>
            <w:r w:rsidRPr="00D31AB1">
              <w:t>2/3</w:t>
            </w:r>
          </w:p>
        </w:tc>
        <w:tc>
          <w:tcPr>
            <w:tcW w:w="1107" w:type="dxa"/>
            <w:shd w:val="clear" w:color="auto" w:fill="auto"/>
          </w:tcPr>
          <w:p w14:paraId="195D15C6" w14:textId="77777777" w:rsidR="00D31AB1" w:rsidRPr="00D31AB1" w:rsidRDefault="00D31AB1" w:rsidP="00D31AB1">
            <w:pPr>
              <w:pStyle w:val="NoSpacing"/>
            </w:pPr>
            <w:r w:rsidRPr="00D31AB1">
              <w:t>½</w:t>
            </w:r>
          </w:p>
        </w:tc>
        <w:tc>
          <w:tcPr>
            <w:tcW w:w="1107" w:type="dxa"/>
            <w:shd w:val="clear" w:color="auto" w:fill="auto"/>
          </w:tcPr>
          <w:p w14:paraId="2318FFA9" w14:textId="77777777" w:rsidR="00D31AB1" w:rsidRPr="00D31AB1" w:rsidRDefault="00D31AB1" w:rsidP="00D31AB1">
            <w:pPr>
              <w:pStyle w:val="NoSpacing"/>
            </w:pPr>
            <w:r w:rsidRPr="00D31AB1">
              <w:t>1/3</w:t>
            </w:r>
          </w:p>
        </w:tc>
        <w:tc>
          <w:tcPr>
            <w:tcW w:w="1107" w:type="dxa"/>
            <w:shd w:val="clear" w:color="auto" w:fill="auto"/>
          </w:tcPr>
          <w:p w14:paraId="1114A8C0" w14:textId="77777777" w:rsidR="00D31AB1" w:rsidRPr="00D31AB1" w:rsidRDefault="00D31AB1" w:rsidP="00D31AB1">
            <w:pPr>
              <w:pStyle w:val="NoSpacing"/>
            </w:pPr>
            <w:r w:rsidRPr="00D31AB1">
              <w:t>0</w:t>
            </w:r>
          </w:p>
        </w:tc>
        <w:tc>
          <w:tcPr>
            <w:tcW w:w="1107" w:type="dxa"/>
            <w:shd w:val="clear" w:color="auto" w:fill="auto"/>
          </w:tcPr>
          <w:p w14:paraId="609A839F" w14:textId="77777777" w:rsidR="00D31AB1" w:rsidRPr="00D31AB1" w:rsidRDefault="00D31AB1" w:rsidP="00D31AB1">
            <w:pPr>
              <w:pStyle w:val="NoSpacing"/>
            </w:pPr>
            <w:r w:rsidRPr="00D31AB1">
              <w:t>1</w:t>
            </w:r>
          </w:p>
        </w:tc>
        <w:tc>
          <w:tcPr>
            <w:tcW w:w="1108" w:type="dxa"/>
            <w:shd w:val="clear" w:color="auto" w:fill="auto"/>
          </w:tcPr>
          <w:p w14:paraId="22B85B9B" w14:textId="77777777" w:rsidR="00D31AB1" w:rsidRPr="00D31AB1" w:rsidRDefault="00D31AB1" w:rsidP="00D31AB1">
            <w:pPr>
              <w:pStyle w:val="NoSpacing"/>
            </w:pPr>
            <w:r w:rsidRPr="00D31AB1">
              <w:t>0</w:t>
            </w:r>
          </w:p>
        </w:tc>
        <w:tc>
          <w:tcPr>
            <w:tcW w:w="1108" w:type="dxa"/>
            <w:shd w:val="clear" w:color="auto" w:fill="auto"/>
          </w:tcPr>
          <w:p w14:paraId="159F11EB" w14:textId="77777777" w:rsidR="00D31AB1" w:rsidRPr="00D31AB1" w:rsidRDefault="00D31AB1" w:rsidP="00D31AB1">
            <w:pPr>
              <w:pStyle w:val="NoSpacing"/>
            </w:pPr>
            <w:r w:rsidRPr="00D31AB1">
              <w:t>0</w:t>
            </w:r>
          </w:p>
        </w:tc>
      </w:tr>
      <w:tr w:rsidR="00D31AB1" w:rsidRPr="00D31AB1" w14:paraId="19B6AFE2" w14:textId="77777777" w:rsidTr="00664D3E">
        <w:tc>
          <w:tcPr>
            <w:tcW w:w="1106" w:type="dxa"/>
            <w:shd w:val="clear" w:color="auto" w:fill="auto"/>
          </w:tcPr>
          <w:p w14:paraId="30D110DC" w14:textId="77777777" w:rsidR="00D31AB1" w:rsidRPr="00D31AB1" w:rsidRDefault="00D31AB1" w:rsidP="00D31AB1">
            <w:pPr>
              <w:pStyle w:val="NoSpacing"/>
              <w:rPr>
                <w:b/>
              </w:rPr>
            </w:pPr>
            <w:r w:rsidRPr="00D31AB1">
              <w:rPr>
                <w:b/>
              </w:rPr>
              <w:t>b</w:t>
            </w:r>
          </w:p>
        </w:tc>
        <w:tc>
          <w:tcPr>
            <w:tcW w:w="1106" w:type="dxa"/>
            <w:shd w:val="clear" w:color="auto" w:fill="auto"/>
          </w:tcPr>
          <w:p w14:paraId="5F808CB4" w14:textId="77777777" w:rsidR="00D31AB1" w:rsidRPr="00D31AB1" w:rsidRDefault="00D31AB1" w:rsidP="00D31AB1">
            <w:pPr>
              <w:pStyle w:val="NoSpacing"/>
            </w:pPr>
            <w:r w:rsidRPr="00D31AB1">
              <w:t>-1/3</w:t>
            </w:r>
          </w:p>
        </w:tc>
        <w:tc>
          <w:tcPr>
            <w:tcW w:w="1107" w:type="dxa"/>
            <w:shd w:val="clear" w:color="auto" w:fill="auto"/>
          </w:tcPr>
          <w:p w14:paraId="61A2CBDA" w14:textId="77777777" w:rsidR="00D31AB1" w:rsidRPr="00D31AB1" w:rsidRDefault="00D31AB1" w:rsidP="00D31AB1">
            <w:pPr>
              <w:pStyle w:val="NoSpacing"/>
            </w:pPr>
            <w:r w:rsidRPr="00D31AB1">
              <w:t>½</w:t>
            </w:r>
          </w:p>
        </w:tc>
        <w:tc>
          <w:tcPr>
            <w:tcW w:w="1107" w:type="dxa"/>
            <w:shd w:val="clear" w:color="auto" w:fill="auto"/>
          </w:tcPr>
          <w:p w14:paraId="3D734AB4" w14:textId="77777777" w:rsidR="00D31AB1" w:rsidRPr="00D31AB1" w:rsidRDefault="00D31AB1" w:rsidP="00D31AB1">
            <w:pPr>
              <w:pStyle w:val="NoSpacing"/>
            </w:pPr>
            <w:r w:rsidRPr="00D31AB1">
              <w:t>1/3</w:t>
            </w:r>
          </w:p>
        </w:tc>
        <w:tc>
          <w:tcPr>
            <w:tcW w:w="1107" w:type="dxa"/>
            <w:shd w:val="clear" w:color="auto" w:fill="auto"/>
          </w:tcPr>
          <w:p w14:paraId="0B05B36F" w14:textId="77777777" w:rsidR="00D31AB1" w:rsidRPr="00D31AB1" w:rsidRDefault="00D31AB1" w:rsidP="00D31AB1">
            <w:pPr>
              <w:pStyle w:val="NoSpacing"/>
            </w:pPr>
            <w:r w:rsidRPr="00D31AB1">
              <w:t>0</w:t>
            </w:r>
          </w:p>
        </w:tc>
        <w:tc>
          <w:tcPr>
            <w:tcW w:w="1107" w:type="dxa"/>
            <w:shd w:val="clear" w:color="auto" w:fill="auto"/>
          </w:tcPr>
          <w:p w14:paraId="74C16D35" w14:textId="77777777" w:rsidR="00D31AB1" w:rsidRPr="00D31AB1" w:rsidRDefault="00D31AB1" w:rsidP="00D31AB1">
            <w:pPr>
              <w:pStyle w:val="NoSpacing"/>
            </w:pPr>
            <w:r w:rsidRPr="00D31AB1">
              <w:t>0</w:t>
            </w:r>
          </w:p>
        </w:tc>
        <w:tc>
          <w:tcPr>
            <w:tcW w:w="1108" w:type="dxa"/>
            <w:shd w:val="clear" w:color="auto" w:fill="auto"/>
          </w:tcPr>
          <w:p w14:paraId="3B8779D3" w14:textId="77777777" w:rsidR="00D31AB1" w:rsidRPr="00D31AB1" w:rsidRDefault="00D31AB1" w:rsidP="00D31AB1">
            <w:pPr>
              <w:pStyle w:val="NoSpacing"/>
            </w:pPr>
            <w:r w:rsidRPr="00D31AB1">
              <w:t>1</w:t>
            </w:r>
          </w:p>
        </w:tc>
        <w:tc>
          <w:tcPr>
            <w:tcW w:w="1108" w:type="dxa"/>
            <w:shd w:val="clear" w:color="auto" w:fill="auto"/>
          </w:tcPr>
          <w:p w14:paraId="575958F6" w14:textId="77777777" w:rsidR="00D31AB1" w:rsidRPr="00D31AB1" w:rsidRDefault="00D31AB1" w:rsidP="00D31AB1">
            <w:pPr>
              <w:pStyle w:val="NoSpacing"/>
            </w:pPr>
            <w:r w:rsidRPr="00D31AB1">
              <w:t>0</w:t>
            </w:r>
          </w:p>
        </w:tc>
      </w:tr>
      <w:tr w:rsidR="00D31AB1" w:rsidRPr="00D31AB1" w14:paraId="0FA75D9E" w14:textId="77777777" w:rsidTr="00664D3E">
        <w:tc>
          <w:tcPr>
            <w:tcW w:w="1106" w:type="dxa"/>
            <w:shd w:val="clear" w:color="auto" w:fill="auto"/>
          </w:tcPr>
          <w:p w14:paraId="108634C4" w14:textId="77777777" w:rsidR="00D31AB1" w:rsidRPr="00D31AB1" w:rsidRDefault="00D31AB1" w:rsidP="00D31AB1">
            <w:pPr>
              <w:pStyle w:val="NoSpacing"/>
              <w:rPr>
                <w:b/>
              </w:rPr>
            </w:pPr>
            <w:r w:rsidRPr="00D31AB1">
              <w:rPr>
                <w:b/>
              </w:rPr>
              <w:t>t</w:t>
            </w:r>
          </w:p>
        </w:tc>
        <w:tc>
          <w:tcPr>
            <w:tcW w:w="1106" w:type="dxa"/>
            <w:shd w:val="clear" w:color="auto" w:fill="auto"/>
          </w:tcPr>
          <w:p w14:paraId="07A2F782" w14:textId="77777777" w:rsidR="00D31AB1" w:rsidRPr="00D31AB1" w:rsidRDefault="00D31AB1" w:rsidP="00D31AB1">
            <w:pPr>
              <w:pStyle w:val="NoSpacing"/>
            </w:pPr>
            <w:r w:rsidRPr="00D31AB1">
              <w:t>2/3</w:t>
            </w:r>
          </w:p>
        </w:tc>
        <w:tc>
          <w:tcPr>
            <w:tcW w:w="1107" w:type="dxa"/>
            <w:shd w:val="clear" w:color="auto" w:fill="auto"/>
          </w:tcPr>
          <w:p w14:paraId="11FDE177" w14:textId="77777777" w:rsidR="00D31AB1" w:rsidRPr="00D31AB1" w:rsidRDefault="00D31AB1" w:rsidP="00D31AB1">
            <w:pPr>
              <w:pStyle w:val="NoSpacing"/>
            </w:pPr>
            <w:r w:rsidRPr="00D31AB1">
              <w:t>½</w:t>
            </w:r>
          </w:p>
        </w:tc>
        <w:tc>
          <w:tcPr>
            <w:tcW w:w="1107" w:type="dxa"/>
            <w:shd w:val="clear" w:color="auto" w:fill="auto"/>
          </w:tcPr>
          <w:p w14:paraId="53BF3E4A" w14:textId="77777777" w:rsidR="00D31AB1" w:rsidRPr="00D31AB1" w:rsidRDefault="00D31AB1" w:rsidP="00D31AB1">
            <w:pPr>
              <w:pStyle w:val="NoSpacing"/>
            </w:pPr>
            <w:r w:rsidRPr="00D31AB1">
              <w:t>1/3</w:t>
            </w:r>
          </w:p>
        </w:tc>
        <w:tc>
          <w:tcPr>
            <w:tcW w:w="1107" w:type="dxa"/>
            <w:shd w:val="clear" w:color="auto" w:fill="auto"/>
          </w:tcPr>
          <w:p w14:paraId="6AC56F3A" w14:textId="77777777" w:rsidR="00D31AB1" w:rsidRPr="00D31AB1" w:rsidRDefault="00D31AB1" w:rsidP="00D31AB1">
            <w:pPr>
              <w:pStyle w:val="NoSpacing"/>
            </w:pPr>
            <w:r w:rsidRPr="00D31AB1">
              <w:t>0</w:t>
            </w:r>
          </w:p>
        </w:tc>
        <w:tc>
          <w:tcPr>
            <w:tcW w:w="1107" w:type="dxa"/>
            <w:shd w:val="clear" w:color="auto" w:fill="auto"/>
          </w:tcPr>
          <w:p w14:paraId="3348F5D0" w14:textId="77777777" w:rsidR="00D31AB1" w:rsidRPr="00D31AB1" w:rsidRDefault="00D31AB1" w:rsidP="00D31AB1">
            <w:pPr>
              <w:pStyle w:val="NoSpacing"/>
            </w:pPr>
            <w:r w:rsidRPr="00D31AB1">
              <w:t>0</w:t>
            </w:r>
          </w:p>
        </w:tc>
        <w:tc>
          <w:tcPr>
            <w:tcW w:w="1108" w:type="dxa"/>
            <w:shd w:val="clear" w:color="auto" w:fill="auto"/>
          </w:tcPr>
          <w:p w14:paraId="110AFC37" w14:textId="77777777" w:rsidR="00D31AB1" w:rsidRPr="00D31AB1" w:rsidRDefault="00D31AB1" w:rsidP="00D31AB1">
            <w:pPr>
              <w:pStyle w:val="NoSpacing"/>
            </w:pPr>
            <w:r w:rsidRPr="00D31AB1">
              <w:t>0</w:t>
            </w:r>
          </w:p>
        </w:tc>
        <w:tc>
          <w:tcPr>
            <w:tcW w:w="1108" w:type="dxa"/>
            <w:shd w:val="clear" w:color="auto" w:fill="auto"/>
          </w:tcPr>
          <w:p w14:paraId="6D7A80AD" w14:textId="77777777" w:rsidR="00D31AB1" w:rsidRPr="00D31AB1" w:rsidRDefault="00D31AB1" w:rsidP="00D31AB1">
            <w:pPr>
              <w:pStyle w:val="NoSpacing"/>
            </w:pPr>
            <w:r w:rsidRPr="00D31AB1">
              <w:t>1</w:t>
            </w:r>
          </w:p>
        </w:tc>
      </w:tr>
    </w:tbl>
    <w:p w14:paraId="22BF381D" w14:textId="77777777" w:rsidR="00D31AB1" w:rsidRPr="00D31AB1" w:rsidRDefault="00D31AB1" w:rsidP="00D31AB1">
      <w:pPr>
        <w:pStyle w:val="NoSpacing"/>
      </w:pPr>
    </w:p>
    <w:p w14:paraId="1CD86F7A" w14:textId="77777777" w:rsidR="00D31AB1" w:rsidRPr="00D31AB1" w:rsidRDefault="00D31AB1" w:rsidP="00D31AB1">
      <w:pPr>
        <w:pStyle w:val="NoSpacing"/>
      </w:pPr>
      <w:r w:rsidRPr="00D31AB1">
        <w:lastRenderedPageBreak/>
        <w:t xml:space="preserve">A proton is (uud), and a neutron is (udd).  </w:t>
      </w:r>
    </w:p>
    <w:p w14:paraId="363964FA" w14:textId="77777777" w:rsidR="00D31AB1" w:rsidRPr="00D31AB1" w:rsidRDefault="00D31AB1" w:rsidP="00D31AB1">
      <w:pPr>
        <w:pStyle w:val="NoSpacing"/>
      </w:pPr>
    </w:p>
    <w:sectPr w:rsidR="00D31AB1" w:rsidRPr="00D31A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121C93"/>
    <w:multiLevelType w:val="hybridMultilevel"/>
    <w:tmpl w:val="AEC8AF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FBF06EF"/>
    <w:multiLevelType w:val="hybridMultilevel"/>
    <w:tmpl w:val="75024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61202405">
    <w:abstractNumId w:val="1"/>
  </w:num>
  <w:num w:numId="2" w16cid:durableId="1944265684">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7D9"/>
    <w:rsid w:val="000278F1"/>
    <w:rsid w:val="0006347E"/>
    <w:rsid w:val="00087059"/>
    <w:rsid w:val="000A57D9"/>
    <w:rsid w:val="000F2134"/>
    <w:rsid w:val="00133166"/>
    <w:rsid w:val="001F0A20"/>
    <w:rsid w:val="002F59B9"/>
    <w:rsid w:val="00380B86"/>
    <w:rsid w:val="003B2AF0"/>
    <w:rsid w:val="003D18C3"/>
    <w:rsid w:val="003F1354"/>
    <w:rsid w:val="00407A61"/>
    <w:rsid w:val="004349E5"/>
    <w:rsid w:val="00434A71"/>
    <w:rsid w:val="00434D52"/>
    <w:rsid w:val="004B39D7"/>
    <w:rsid w:val="004D62A1"/>
    <w:rsid w:val="00536611"/>
    <w:rsid w:val="00581959"/>
    <w:rsid w:val="00664D3E"/>
    <w:rsid w:val="0071280F"/>
    <w:rsid w:val="007452CC"/>
    <w:rsid w:val="00874286"/>
    <w:rsid w:val="008D3ADD"/>
    <w:rsid w:val="008F4027"/>
    <w:rsid w:val="009D5095"/>
    <w:rsid w:val="009E4F6C"/>
    <w:rsid w:val="00A66CCB"/>
    <w:rsid w:val="00B131AD"/>
    <w:rsid w:val="00BC396F"/>
    <w:rsid w:val="00C433D5"/>
    <w:rsid w:val="00C91DAE"/>
    <w:rsid w:val="00D31AB1"/>
    <w:rsid w:val="00E659C4"/>
    <w:rsid w:val="00F13B5C"/>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672F"/>
  <w15:chartTrackingRefBased/>
  <w15:docId w15:val="{786103BC-8066-417A-BFC2-652B5B156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1AB1"/>
    <w:pPr>
      <w:spacing w:after="0" w:line="240" w:lineRule="auto"/>
    </w:pPr>
  </w:style>
  <w:style w:type="paragraph" w:styleId="ListParagraph">
    <w:name w:val="List Paragraph"/>
    <w:basedOn w:val="Normal"/>
    <w:uiPriority w:val="34"/>
    <w:qFormat/>
    <w:rsid w:val="00664D3E"/>
    <w:pPr>
      <w:spacing w:line="256" w:lineRule="auto"/>
      <w:ind w:left="720"/>
      <w:contextualSpacing/>
    </w:pPr>
  </w:style>
  <w:style w:type="table" w:styleId="TableGrid">
    <w:name w:val="Table Grid"/>
    <w:basedOn w:val="TableNormal"/>
    <w:rsid w:val="00664D3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49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png"/><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Pages>
  <Words>749</Words>
  <Characters>4274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12</cp:revision>
  <dcterms:created xsi:type="dcterms:W3CDTF">2020-01-17T17:18:00Z</dcterms:created>
  <dcterms:modified xsi:type="dcterms:W3CDTF">2022-07-13T22:36:00Z</dcterms:modified>
</cp:coreProperties>
</file>